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62E5"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 xml:space="preserve">Председателю Правительства </w:t>
      </w:r>
    </w:p>
    <w:p w14:paraId="2071C8DB"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Российской Федерации</w:t>
      </w:r>
    </w:p>
    <w:p w14:paraId="48332EFB" w14:textId="77777777" w:rsidR="00D86268" w:rsidRPr="00D86268" w:rsidRDefault="00D86268" w:rsidP="00D86268">
      <w:pPr>
        <w:spacing w:after="0" w:line="0" w:lineRule="atLeast"/>
        <w:contextualSpacing/>
        <w:jc w:val="right"/>
        <w:rPr>
          <w:rFonts w:ascii="Times New Roman" w:hAnsi="Times New Roman" w:cs="Times New Roman"/>
          <w:sz w:val="24"/>
          <w:szCs w:val="24"/>
        </w:rPr>
      </w:pPr>
      <w:proofErr w:type="spellStart"/>
      <w:r w:rsidRPr="00D86268">
        <w:rPr>
          <w:rFonts w:ascii="Times New Roman" w:hAnsi="Times New Roman" w:cs="Times New Roman"/>
          <w:sz w:val="24"/>
          <w:szCs w:val="24"/>
        </w:rPr>
        <w:t>Мишустину</w:t>
      </w:r>
      <w:proofErr w:type="spellEnd"/>
      <w:r w:rsidRPr="00D86268">
        <w:rPr>
          <w:rFonts w:ascii="Times New Roman" w:hAnsi="Times New Roman" w:cs="Times New Roman"/>
          <w:sz w:val="24"/>
          <w:szCs w:val="24"/>
        </w:rPr>
        <w:t xml:space="preserve"> М.В.</w:t>
      </w:r>
    </w:p>
    <w:p w14:paraId="6E9E4094" w14:textId="77777777" w:rsidR="00D86268" w:rsidRPr="00D86268" w:rsidRDefault="00D86268" w:rsidP="00D86268">
      <w:pPr>
        <w:spacing w:after="0" w:line="0" w:lineRule="atLeast"/>
        <w:contextualSpacing/>
        <w:jc w:val="right"/>
        <w:rPr>
          <w:rFonts w:ascii="Times New Roman" w:hAnsi="Times New Roman" w:cs="Times New Roman"/>
          <w:sz w:val="24"/>
          <w:szCs w:val="24"/>
        </w:rPr>
      </w:pPr>
    </w:p>
    <w:p w14:paraId="48204F19"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 xml:space="preserve">Председателю Счетной палаты </w:t>
      </w:r>
    </w:p>
    <w:p w14:paraId="1A874A20"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Российской Федерации</w:t>
      </w:r>
    </w:p>
    <w:p w14:paraId="53337182"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Кудрину А.Л.</w:t>
      </w:r>
    </w:p>
    <w:p w14:paraId="779677CB" w14:textId="77777777" w:rsidR="00D86268" w:rsidRPr="00D86268" w:rsidRDefault="00D86268" w:rsidP="00D86268">
      <w:pPr>
        <w:spacing w:after="0" w:line="0" w:lineRule="atLeast"/>
        <w:contextualSpacing/>
        <w:jc w:val="right"/>
        <w:rPr>
          <w:rFonts w:ascii="Times New Roman" w:hAnsi="Times New Roman" w:cs="Times New Roman"/>
          <w:sz w:val="24"/>
          <w:szCs w:val="24"/>
        </w:rPr>
      </w:pPr>
    </w:p>
    <w:p w14:paraId="627E9257"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 xml:space="preserve">Председателю Комитета </w:t>
      </w:r>
    </w:p>
    <w:p w14:paraId="2CC10D84"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Государственной Думы Российской Федерации</w:t>
      </w:r>
    </w:p>
    <w:p w14:paraId="053048BD" w14:textId="77777777" w:rsidR="00D86268" w:rsidRPr="00D86268" w:rsidRDefault="00D86268" w:rsidP="00D86268">
      <w:pPr>
        <w:spacing w:after="0" w:line="0" w:lineRule="atLeast"/>
        <w:contextualSpacing/>
        <w:jc w:val="right"/>
        <w:rPr>
          <w:rFonts w:ascii="Times New Roman" w:hAnsi="Times New Roman" w:cs="Times New Roman"/>
          <w:sz w:val="24"/>
          <w:szCs w:val="24"/>
        </w:rPr>
      </w:pPr>
      <w:r w:rsidRPr="00D86268">
        <w:rPr>
          <w:rFonts w:ascii="Times New Roman" w:hAnsi="Times New Roman" w:cs="Times New Roman"/>
          <w:sz w:val="24"/>
          <w:szCs w:val="24"/>
        </w:rPr>
        <w:t xml:space="preserve"> по охране здоровья</w:t>
      </w:r>
    </w:p>
    <w:p w14:paraId="1E47A043" w14:textId="28632E96" w:rsidR="006246FD" w:rsidRPr="00D86268" w:rsidRDefault="00D86268" w:rsidP="00D86268">
      <w:pPr>
        <w:spacing w:after="0" w:line="0" w:lineRule="atLeast"/>
        <w:contextualSpacing/>
        <w:jc w:val="right"/>
        <w:rPr>
          <w:rFonts w:ascii="Times New Roman" w:hAnsi="Times New Roman" w:cs="Times New Roman"/>
          <w:sz w:val="24"/>
          <w:szCs w:val="24"/>
        </w:rPr>
      </w:pPr>
      <w:proofErr w:type="spellStart"/>
      <w:r w:rsidRPr="00D86268">
        <w:rPr>
          <w:rFonts w:ascii="Times New Roman" w:hAnsi="Times New Roman" w:cs="Times New Roman"/>
          <w:sz w:val="24"/>
          <w:szCs w:val="24"/>
        </w:rPr>
        <w:t>Хубезову</w:t>
      </w:r>
      <w:proofErr w:type="spellEnd"/>
      <w:r w:rsidRPr="00D86268">
        <w:rPr>
          <w:rFonts w:ascii="Times New Roman" w:hAnsi="Times New Roman" w:cs="Times New Roman"/>
          <w:sz w:val="24"/>
          <w:szCs w:val="24"/>
        </w:rPr>
        <w:t xml:space="preserve"> Д.А.</w:t>
      </w:r>
    </w:p>
    <w:p w14:paraId="629DAE01" w14:textId="77777777" w:rsidR="00D86268" w:rsidRDefault="00D86268" w:rsidP="009D7A8F">
      <w:pPr>
        <w:jc w:val="center"/>
        <w:rPr>
          <w:rFonts w:ascii="Times New Roman" w:hAnsi="Times New Roman" w:cs="Times New Roman"/>
          <w:b/>
          <w:sz w:val="24"/>
          <w:szCs w:val="24"/>
        </w:rPr>
      </w:pPr>
    </w:p>
    <w:p w14:paraId="1BAAFFA2" w14:textId="3528DCBD" w:rsidR="00DE1B1E" w:rsidRPr="00DE1B1E" w:rsidRDefault="00911917" w:rsidP="009D7A8F">
      <w:pPr>
        <w:jc w:val="center"/>
        <w:rPr>
          <w:rFonts w:ascii="Times New Roman" w:hAnsi="Times New Roman" w:cs="Times New Roman"/>
          <w:b/>
          <w:sz w:val="24"/>
          <w:szCs w:val="24"/>
        </w:rPr>
      </w:pPr>
      <w:r w:rsidRPr="00DE1B1E">
        <w:rPr>
          <w:rFonts w:ascii="Times New Roman" w:hAnsi="Times New Roman" w:cs="Times New Roman"/>
          <w:b/>
          <w:sz w:val="24"/>
          <w:szCs w:val="24"/>
        </w:rPr>
        <w:t>Пояснительная записка</w:t>
      </w:r>
    </w:p>
    <w:p w14:paraId="3CDBF15F" w14:textId="7DFE3101" w:rsidR="009D7A8F" w:rsidRPr="00DE1B1E" w:rsidRDefault="00911917" w:rsidP="009D7A8F">
      <w:pPr>
        <w:jc w:val="center"/>
        <w:rPr>
          <w:rFonts w:ascii="Times New Roman" w:hAnsi="Times New Roman" w:cs="Times New Roman"/>
          <w:b/>
          <w:sz w:val="24"/>
          <w:szCs w:val="24"/>
        </w:rPr>
      </w:pPr>
      <w:r w:rsidRPr="00DE1B1E">
        <w:rPr>
          <w:rFonts w:ascii="Times New Roman" w:hAnsi="Times New Roman" w:cs="Times New Roman"/>
          <w:b/>
          <w:sz w:val="24"/>
          <w:szCs w:val="24"/>
        </w:rPr>
        <w:t xml:space="preserve"> к Обращению</w:t>
      </w:r>
      <w:r w:rsidR="009D7A8F" w:rsidRPr="00DE1B1E">
        <w:rPr>
          <w:rFonts w:ascii="Times New Roman" w:hAnsi="Times New Roman" w:cs="Times New Roman"/>
          <w:b/>
          <w:sz w:val="24"/>
          <w:szCs w:val="24"/>
        </w:rPr>
        <w:t xml:space="preserve"> участников сферы обращения медицинских изделий</w:t>
      </w:r>
    </w:p>
    <w:p w14:paraId="5CC7AAD8" w14:textId="77777777" w:rsidR="009D7A8F" w:rsidRPr="00DE1B1E" w:rsidRDefault="009D7A8F" w:rsidP="009D7A8F">
      <w:pPr>
        <w:jc w:val="center"/>
        <w:rPr>
          <w:rFonts w:ascii="Times New Roman" w:hAnsi="Times New Roman" w:cs="Times New Roman"/>
          <w:b/>
          <w:sz w:val="24"/>
          <w:szCs w:val="24"/>
        </w:rPr>
      </w:pPr>
      <w:r w:rsidRPr="00DE1B1E">
        <w:rPr>
          <w:rFonts w:ascii="Times New Roman" w:hAnsi="Times New Roman" w:cs="Times New Roman"/>
          <w:b/>
          <w:sz w:val="24"/>
          <w:szCs w:val="24"/>
        </w:rPr>
        <w:t>«О необходимости долгосрочного продления процедуры государственной регистрации медицинских изделий (национальной процедуры РФ)»</w:t>
      </w:r>
    </w:p>
    <w:p w14:paraId="72654FCF" w14:textId="77777777" w:rsidR="00DE1B1E" w:rsidRDefault="008805CE" w:rsidP="00DE1B1E">
      <w:pPr>
        <w:jc w:val="both"/>
        <w:rPr>
          <w:rFonts w:ascii="Times New Roman" w:hAnsi="Times New Roman" w:cs="Times New Roman"/>
        </w:rPr>
      </w:pPr>
      <w:r>
        <w:rPr>
          <w:rFonts w:ascii="Times New Roman" w:hAnsi="Times New Roman" w:cs="Times New Roman"/>
        </w:rPr>
        <w:tab/>
      </w:r>
    </w:p>
    <w:p w14:paraId="7588D3DB" w14:textId="18939FC7" w:rsidR="008805CE" w:rsidRPr="00D86268" w:rsidRDefault="008805CE" w:rsidP="00DE1B1E">
      <w:pPr>
        <w:ind w:firstLine="708"/>
        <w:jc w:val="both"/>
        <w:rPr>
          <w:rFonts w:ascii="Times New Roman" w:hAnsi="Times New Roman" w:cs="Times New Roman"/>
          <w:sz w:val="24"/>
          <w:szCs w:val="24"/>
        </w:rPr>
      </w:pPr>
      <w:r w:rsidRPr="00D86268">
        <w:rPr>
          <w:rFonts w:ascii="Times New Roman" w:hAnsi="Times New Roman" w:cs="Times New Roman"/>
          <w:sz w:val="24"/>
          <w:szCs w:val="24"/>
        </w:rPr>
        <w:t xml:space="preserve">Сообщество участников сферы обращения медицинских изделий </w:t>
      </w:r>
      <w:r w:rsidR="00911917" w:rsidRPr="00D86268">
        <w:rPr>
          <w:rFonts w:ascii="Times New Roman" w:hAnsi="Times New Roman" w:cs="Times New Roman"/>
          <w:sz w:val="24"/>
          <w:szCs w:val="24"/>
        </w:rPr>
        <w:t>обеспокоено</w:t>
      </w:r>
      <w:r w:rsidRPr="00D86268">
        <w:rPr>
          <w:rFonts w:ascii="Times New Roman" w:hAnsi="Times New Roman" w:cs="Times New Roman"/>
          <w:sz w:val="24"/>
          <w:szCs w:val="24"/>
        </w:rPr>
        <w:t xml:space="preserve"> с назревающей критической ситуацией в нашей отрасли, отягощенной введением ограничительных мер экономического характера в отношении Российской Федерации рядом зарубежных стран.</w:t>
      </w:r>
    </w:p>
    <w:p w14:paraId="1D347BB0" w14:textId="77777777" w:rsidR="008805CE" w:rsidRPr="00D86268" w:rsidRDefault="008805CE" w:rsidP="00817BE8">
      <w:pPr>
        <w:jc w:val="both"/>
        <w:rPr>
          <w:rFonts w:ascii="Times New Roman" w:hAnsi="Times New Roman" w:cs="Times New Roman"/>
          <w:sz w:val="24"/>
          <w:szCs w:val="24"/>
        </w:rPr>
      </w:pPr>
      <w:r w:rsidRPr="00D86268">
        <w:rPr>
          <w:rFonts w:ascii="Times New Roman" w:hAnsi="Times New Roman" w:cs="Times New Roman"/>
          <w:sz w:val="24"/>
          <w:szCs w:val="24"/>
        </w:rPr>
        <w:tab/>
        <w:t xml:space="preserve"> Обязательным условием обращения медицинских изделий на территории Российской Федерации является их регистрация. 31 декабря 2021 года закончился переходный период, предусмотренный международным 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 после чего регистрация медицинских изделий стала возможна только в соответствии с Правилами Евразийского Экономического Союза</w:t>
      </w:r>
      <w:r w:rsidRPr="00D86268">
        <w:rPr>
          <w:rStyle w:val="a5"/>
          <w:rFonts w:ascii="Times New Roman" w:hAnsi="Times New Roman" w:cs="Times New Roman"/>
          <w:sz w:val="24"/>
          <w:szCs w:val="24"/>
        </w:rPr>
        <w:footnoteReference w:id="1"/>
      </w:r>
      <w:r w:rsidRPr="00D86268">
        <w:rPr>
          <w:rFonts w:ascii="Times New Roman" w:hAnsi="Times New Roman" w:cs="Times New Roman"/>
          <w:sz w:val="24"/>
          <w:szCs w:val="24"/>
        </w:rPr>
        <w:t>, предусматривающими значительно более сложную, затратную, долгую, а в некоторых случаях и экономически нецелесообразную для производителей процедуру вывода медицинских изделий на рынок</w:t>
      </w:r>
      <w:r w:rsidR="006E5D98" w:rsidRPr="00D86268">
        <w:rPr>
          <w:rFonts w:ascii="Times New Roman" w:hAnsi="Times New Roman" w:cs="Times New Roman"/>
          <w:sz w:val="24"/>
          <w:szCs w:val="24"/>
        </w:rPr>
        <w:t xml:space="preserve"> (далее – «процедура ЕАЭС»)</w:t>
      </w:r>
      <w:r w:rsidRPr="00D86268">
        <w:rPr>
          <w:rFonts w:ascii="Times New Roman" w:hAnsi="Times New Roman" w:cs="Times New Roman"/>
          <w:sz w:val="24"/>
          <w:szCs w:val="24"/>
        </w:rPr>
        <w:t>.</w:t>
      </w:r>
      <w:r w:rsidR="00657C52" w:rsidRPr="00D86268">
        <w:rPr>
          <w:rFonts w:ascii="Times New Roman" w:hAnsi="Times New Roman" w:cs="Times New Roman"/>
          <w:sz w:val="24"/>
          <w:szCs w:val="24"/>
        </w:rPr>
        <w:t xml:space="preserve"> Процедуру, которая вызывает сложности избыточным количеством документов регистрационного досье, несогласованностью требований и сложностью их практической реализации. </w:t>
      </w:r>
      <w:r w:rsidR="00121402" w:rsidRPr="00D86268">
        <w:rPr>
          <w:rFonts w:ascii="Times New Roman" w:hAnsi="Times New Roman" w:cs="Times New Roman"/>
          <w:sz w:val="24"/>
          <w:szCs w:val="24"/>
        </w:rPr>
        <w:t xml:space="preserve"> На момент составления настоящего обращения лишь 7 медицинских изделий были зарегистрированы согласно Правилам ЕАЭС</w:t>
      </w:r>
      <w:r w:rsidR="00121402" w:rsidRPr="00D86268">
        <w:rPr>
          <w:rStyle w:val="a5"/>
          <w:rFonts w:ascii="Times New Roman" w:hAnsi="Times New Roman" w:cs="Times New Roman"/>
          <w:sz w:val="24"/>
          <w:szCs w:val="24"/>
        </w:rPr>
        <w:footnoteReference w:id="2"/>
      </w:r>
      <w:r w:rsidR="00121402" w:rsidRPr="00D86268">
        <w:rPr>
          <w:rFonts w:ascii="Times New Roman" w:hAnsi="Times New Roman" w:cs="Times New Roman"/>
          <w:sz w:val="24"/>
          <w:szCs w:val="24"/>
        </w:rPr>
        <w:t>, начиная с их вступления в силу – 6 мая 2017 года.</w:t>
      </w:r>
      <w:r w:rsidR="009D768B" w:rsidRPr="00D86268">
        <w:rPr>
          <w:rFonts w:ascii="Times New Roman" w:hAnsi="Times New Roman" w:cs="Times New Roman"/>
          <w:sz w:val="24"/>
          <w:szCs w:val="24"/>
        </w:rPr>
        <w:t xml:space="preserve"> Вместе с тем, за тот же период по национальной процедуре Российской Федерации</w:t>
      </w:r>
      <w:r w:rsidR="00A90ABE" w:rsidRPr="00D86268">
        <w:rPr>
          <w:rStyle w:val="a5"/>
          <w:rFonts w:ascii="Times New Roman" w:hAnsi="Times New Roman" w:cs="Times New Roman"/>
          <w:sz w:val="24"/>
          <w:szCs w:val="24"/>
        </w:rPr>
        <w:footnoteReference w:id="3"/>
      </w:r>
      <w:r w:rsidR="009D768B" w:rsidRPr="00D86268">
        <w:rPr>
          <w:rFonts w:ascii="Times New Roman" w:hAnsi="Times New Roman" w:cs="Times New Roman"/>
          <w:sz w:val="24"/>
          <w:szCs w:val="24"/>
        </w:rPr>
        <w:t xml:space="preserve"> было зарегистрировано более 18 тысяч медицинских </w:t>
      </w:r>
      <w:r w:rsidR="009D768B" w:rsidRPr="00D86268">
        <w:rPr>
          <w:rFonts w:ascii="Times New Roman" w:hAnsi="Times New Roman" w:cs="Times New Roman"/>
          <w:sz w:val="24"/>
          <w:szCs w:val="24"/>
        </w:rPr>
        <w:lastRenderedPageBreak/>
        <w:t>изделий</w:t>
      </w:r>
      <w:r w:rsidR="009D768B" w:rsidRPr="00D86268">
        <w:rPr>
          <w:rStyle w:val="a5"/>
          <w:rFonts w:ascii="Times New Roman" w:hAnsi="Times New Roman" w:cs="Times New Roman"/>
          <w:sz w:val="24"/>
          <w:szCs w:val="24"/>
        </w:rPr>
        <w:footnoteReference w:id="4"/>
      </w:r>
      <w:r w:rsidR="00E8622E" w:rsidRPr="00D86268">
        <w:rPr>
          <w:rFonts w:ascii="Times New Roman" w:hAnsi="Times New Roman" w:cs="Times New Roman"/>
          <w:sz w:val="24"/>
          <w:szCs w:val="24"/>
        </w:rPr>
        <w:t>,</w:t>
      </w:r>
      <w:r w:rsidR="009D768B" w:rsidRPr="00D86268">
        <w:rPr>
          <w:rFonts w:ascii="Times New Roman" w:hAnsi="Times New Roman" w:cs="Times New Roman"/>
          <w:sz w:val="24"/>
          <w:szCs w:val="24"/>
        </w:rPr>
        <w:t xml:space="preserve"> что наглядно иллюстрирует востребованность национальной процедуры РФ</w:t>
      </w:r>
      <w:r w:rsidR="00657C52" w:rsidRPr="00D86268">
        <w:rPr>
          <w:rFonts w:ascii="Times New Roman" w:hAnsi="Times New Roman" w:cs="Times New Roman"/>
          <w:sz w:val="24"/>
          <w:szCs w:val="24"/>
        </w:rPr>
        <w:t xml:space="preserve"> и не</w:t>
      </w:r>
      <w:r w:rsidR="00A90ABE" w:rsidRPr="00D86268">
        <w:rPr>
          <w:rFonts w:ascii="Times New Roman" w:hAnsi="Times New Roman" w:cs="Times New Roman"/>
          <w:sz w:val="24"/>
          <w:szCs w:val="24"/>
        </w:rPr>
        <w:t xml:space="preserve">обходимость </w:t>
      </w:r>
      <w:r w:rsidR="00657C52" w:rsidRPr="00D86268">
        <w:rPr>
          <w:rFonts w:ascii="Times New Roman" w:hAnsi="Times New Roman" w:cs="Times New Roman"/>
          <w:sz w:val="24"/>
          <w:szCs w:val="24"/>
        </w:rPr>
        <w:t>доработ</w:t>
      </w:r>
      <w:r w:rsidR="00A90ABE" w:rsidRPr="00D86268">
        <w:rPr>
          <w:rFonts w:ascii="Times New Roman" w:hAnsi="Times New Roman" w:cs="Times New Roman"/>
          <w:sz w:val="24"/>
          <w:szCs w:val="24"/>
        </w:rPr>
        <w:t>ки</w:t>
      </w:r>
      <w:r w:rsidR="00657C52" w:rsidRPr="00D86268">
        <w:rPr>
          <w:rFonts w:ascii="Times New Roman" w:hAnsi="Times New Roman" w:cs="Times New Roman"/>
          <w:sz w:val="24"/>
          <w:szCs w:val="24"/>
        </w:rPr>
        <w:t xml:space="preserve"> процедуры ЕАЭС</w:t>
      </w:r>
      <w:r w:rsidR="009D768B" w:rsidRPr="00D86268">
        <w:rPr>
          <w:rFonts w:ascii="Times New Roman" w:hAnsi="Times New Roman" w:cs="Times New Roman"/>
          <w:sz w:val="24"/>
          <w:szCs w:val="24"/>
        </w:rPr>
        <w:t>.</w:t>
      </w:r>
    </w:p>
    <w:p w14:paraId="0179BD9F" w14:textId="77777777" w:rsidR="00657C52" w:rsidRPr="00D86268" w:rsidRDefault="00657C52" w:rsidP="00817BE8">
      <w:pPr>
        <w:jc w:val="both"/>
        <w:rPr>
          <w:rFonts w:ascii="Times New Roman" w:hAnsi="Times New Roman" w:cs="Times New Roman"/>
          <w:b/>
          <w:sz w:val="24"/>
          <w:szCs w:val="24"/>
        </w:rPr>
      </w:pPr>
      <w:r w:rsidRPr="00D86268">
        <w:rPr>
          <w:rFonts w:ascii="Times New Roman" w:hAnsi="Times New Roman" w:cs="Times New Roman"/>
          <w:b/>
          <w:sz w:val="24"/>
          <w:szCs w:val="24"/>
        </w:rPr>
        <w:tab/>
        <w:t>Многие из нас столкнулись с регистрацией по процедуре ЕАЭС, и выявили в ней следующие практические сложности:</w:t>
      </w:r>
    </w:p>
    <w:p w14:paraId="366C3675" w14:textId="77777777" w:rsidR="00657C52" w:rsidRPr="00D86268" w:rsidRDefault="00657C52" w:rsidP="00817BE8">
      <w:pPr>
        <w:jc w:val="both"/>
        <w:rPr>
          <w:rFonts w:ascii="Times New Roman" w:hAnsi="Times New Roman" w:cs="Times New Roman"/>
          <w:sz w:val="24"/>
          <w:szCs w:val="24"/>
        </w:rPr>
      </w:pPr>
      <w:r w:rsidRPr="00D86268">
        <w:rPr>
          <w:rFonts w:ascii="Times New Roman" w:hAnsi="Times New Roman" w:cs="Times New Roman"/>
          <w:sz w:val="24"/>
          <w:szCs w:val="24"/>
        </w:rPr>
        <w:t xml:space="preserve">1. Наличие требования перевода на языки государств признания эксплуатационной документации и маркировки медицинского изделия при первичной подаче медицинского изделия в регистрирующий орган </w:t>
      </w:r>
      <w:proofErr w:type="spellStart"/>
      <w:r w:rsidRPr="00D86268">
        <w:rPr>
          <w:rFonts w:ascii="Times New Roman" w:hAnsi="Times New Roman" w:cs="Times New Roman"/>
          <w:sz w:val="24"/>
          <w:szCs w:val="24"/>
        </w:rPr>
        <w:t>референтного</w:t>
      </w:r>
      <w:proofErr w:type="spellEnd"/>
      <w:r w:rsidRPr="00D86268">
        <w:rPr>
          <w:rFonts w:ascii="Times New Roman" w:hAnsi="Times New Roman" w:cs="Times New Roman"/>
          <w:sz w:val="24"/>
          <w:szCs w:val="24"/>
        </w:rPr>
        <w:t xml:space="preserve"> государства. Стоимость перевода, например, руководства по эксплуатации объемом 200 листов, на языки всех государств признания, составляет около 500 тысяч рублей. При этом, в случае возникновения со стороны регистрирующего органа или экспертной организации к этим документам, осуществляется и</w:t>
      </w:r>
      <w:r w:rsidR="00FB0AB4" w:rsidRPr="00D86268">
        <w:rPr>
          <w:rFonts w:ascii="Times New Roman" w:hAnsi="Times New Roman" w:cs="Times New Roman"/>
          <w:sz w:val="24"/>
          <w:szCs w:val="24"/>
        </w:rPr>
        <w:t>х</w:t>
      </w:r>
      <w:r w:rsidRPr="00D86268">
        <w:rPr>
          <w:rFonts w:ascii="Times New Roman" w:hAnsi="Times New Roman" w:cs="Times New Roman"/>
          <w:sz w:val="24"/>
          <w:szCs w:val="24"/>
        </w:rPr>
        <w:t xml:space="preserve"> корректировка, требующая повторного перевода документов на языки государств признания, что влечет суммарн</w:t>
      </w:r>
      <w:r w:rsidR="00FB0AB4" w:rsidRPr="00D86268">
        <w:rPr>
          <w:rFonts w:ascii="Times New Roman" w:hAnsi="Times New Roman" w:cs="Times New Roman"/>
          <w:sz w:val="24"/>
          <w:szCs w:val="24"/>
        </w:rPr>
        <w:t>ые затраты около 1 млн руб.</w:t>
      </w:r>
    </w:p>
    <w:p w14:paraId="7071FB19" w14:textId="77777777" w:rsidR="00FB0AB4" w:rsidRPr="00D86268" w:rsidRDefault="00FB0AB4" w:rsidP="00817BE8">
      <w:pPr>
        <w:jc w:val="both"/>
        <w:rPr>
          <w:rFonts w:ascii="Times New Roman" w:hAnsi="Times New Roman" w:cs="Times New Roman"/>
          <w:sz w:val="24"/>
          <w:szCs w:val="24"/>
        </w:rPr>
      </w:pPr>
      <w:r w:rsidRPr="00D86268">
        <w:rPr>
          <w:rFonts w:ascii="Times New Roman" w:hAnsi="Times New Roman" w:cs="Times New Roman"/>
          <w:sz w:val="24"/>
          <w:szCs w:val="24"/>
        </w:rPr>
        <w:t xml:space="preserve">2. Отсутствие «гибкости» требований в случае, если </w:t>
      </w:r>
      <w:r w:rsidR="006F0970" w:rsidRPr="00D86268">
        <w:rPr>
          <w:rFonts w:ascii="Times New Roman" w:hAnsi="Times New Roman" w:cs="Times New Roman"/>
          <w:sz w:val="24"/>
          <w:szCs w:val="24"/>
        </w:rPr>
        <w:t xml:space="preserve">медицинское изделие представляет собой набор или активное медицинское изделие с большим количеством компонентов. Так, не допускается использовать </w:t>
      </w:r>
      <w:r w:rsidR="00A90ABE" w:rsidRPr="00D86268">
        <w:rPr>
          <w:rFonts w:ascii="Times New Roman" w:hAnsi="Times New Roman" w:cs="Times New Roman"/>
          <w:sz w:val="24"/>
          <w:szCs w:val="24"/>
        </w:rPr>
        <w:t xml:space="preserve">в заявлениях о регистрации и экспертизе </w:t>
      </w:r>
      <w:r w:rsidR="006F0970" w:rsidRPr="00D86268">
        <w:rPr>
          <w:rFonts w:ascii="Times New Roman" w:hAnsi="Times New Roman" w:cs="Times New Roman"/>
          <w:sz w:val="24"/>
          <w:szCs w:val="24"/>
        </w:rPr>
        <w:t xml:space="preserve">термины «при необходимости» или «количество – не более </w:t>
      </w:r>
      <w:r w:rsidR="006F0970" w:rsidRPr="00D86268">
        <w:rPr>
          <w:rFonts w:ascii="Times New Roman" w:hAnsi="Times New Roman" w:cs="Times New Roman"/>
          <w:sz w:val="24"/>
          <w:szCs w:val="24"/>
          <w:lang w:val="en-US"/>
        </w:rPr>
        <w:t>N</w:t>
      </w:r>
      <w:r w:rsidR="006F0970" w:rsidRPr="00D86268">
        <w:rPr>
          <w:rFonts w:ascii="Times New Roman" w:hAnsi="Times New Roman" w:cs="Times New Roman"/>
          <w:sz w:val="24"/>
          <w:szCs w:val="24"/>
        </w:rPr>
        <w:t xml:space="preserve"> шт.». Например, в случае, если медицинское изделие представляет собой комплект медицинской одежды, количество компонентов в котором определяется на усмотрение заказчика (типовые варианты – по 1, 5, 10, 20 шт. каждой позиции; всего 8 позиций </w:t>
      </w:r>
      <w:r w:rsidR="00B90BF1" w:rsidRPr="00D86268">
        <w:rPr>
          <w:rFonts w:ascii="Times New Roman" w:hAnsi="Times New Roman" w:cs="Times New Roman"/>
          <w:sz w:val="24"/>
          <w:szCs w:val="24"/>
        </w:rPr>
        <w:t xml:space="preserve">в комплекте </w:t>
      </w:r>
      <w:r w:rsidR="006F0970" w:rsidRPr="00D86268">
        <w:rPr>
          <w:rFonts w:ascii="Times New Roman" w:hAnsi="Times New Roman" w:cs="Times New Roman"/>
          <w:sz w:val="24"/>
          <w:szCs w:val="24"/>
        </w:rPr>
        <w:t>по 4 варианта количества единиц поставки</w:t>
      </w:r>
      <w:r w:rsidR="00B70615" w:rsidRPr="00D86268">
        <w:rPr>
          <w:rFonts w:ascii="Times New Roman" w:hAnsi="Times New Roman" w:cs="Times New Roman"/>
          <w:sz w:val="24"/>
          <w:szCs w:val="24"/>
        </w:rPr>
        <w:t>, т.е. 8*4=32 объекта по 8</w:t>
      </w:r>
      <w:r w:rsidR="006F0970" w:rsidRPr="00D86268">
        <w:rPr>
          <w:rFonts w:ascii="Times New Roman" w:hAnsi="Times New Roman" w:cs="Times New Roman"/>
          <w:sz w:val="24"/>
          <w:szCs w:val="24"/>
        </w:rPr>
        <w:t xml:space="preserve">), перечень модификаций (моделей / вариантов исполнения) в документах регистрационного досье будет составлять </w:t>
      </w:r>
      <w:r w:rsidR="00B70615" w:rsidRPr="00D86268">
        <w:rPr>
          <w:rFonts w:ascii="Times New Roman" w:hAnsi="Times New Roman" w:cs="Times New Roman"/>
          <w:noProof/>
          <w:sz w:val="24"/>
          <w:szCs w:val="24"/>
          <w:lang w:eastAsia="ru-RU"/>
        </w:rPr>
        <w:drawing>
          <wp:inline distT="0" distB="0" distL="0" distR="0" wp14:anchorId="25C3EA39" wp14:editId="67FD5709">
            <wp:extent cx="3840480" cy="44805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4039" cy="469471"/>
                    </a:xfrm>
                    <a:prstGeom prst="rect">
                      <a:avLst/>
                    </a:prstGeom>
                  </pic:spPr>
                </pic:pic>
              </a:graphicData>
            </a:graphic>
          </wp:inline>
        </w:drawing>
      </w:r>
      <w:r w:rsidR="00B70615" w:rsidRPr="00D86268">
        <w:rPr>
          <w:rFonts w:ascii="Times New Roman" w:hAnsi="Times New Roman" w:cs="Times New Roman"/>
          <w:sz w:val="24"/>
          <w:szCs w:val="24"/>
        </w:rPr>
        <w:t xml:space="preserve"> (десять миллионов пятьсот восемнадцать тысяч триста) вариантов исполнения.</w:t>
      </w:r>
      <w:r w:rsidR="006867DF" w:rsidRPr="00D86268">
        <w:rPr>
          <w:rFonts w:ascii="Times New Roman" w:hAnsi="Times New Roman" w:cs="Times New Roman"/>
          <w:sz w:val="24"/>
          <w:szCs w:val="24"/>
        </w:rPr>
        <w:t xml:space="preserve"> Если считать, что каждый вариант исполнения будет </w:t>
      </w:r>
      <w:proofErr w:type="gramStart"/>
      <w:r w:rsidR="006867DF" w:rsidRPr="00D86268">
        <w:rPr>
          <w:rFonts w:ascii="Times New Roman" w:hAnsi="Times New Roman" w:cs="Times New Roman"/>
          <w:sz w:val="24"/>
          <w:szCs w:val="24"/>
        </w:rPr>
        <w:t>занимать  ¼</w:t>
      </w:r>
      <w:proofErr w:type="gramEnd"/>
      <w:r w:rsidR="006867DF" w:rsidRPr="00D86268">
        <w:rPr>
          <w:rFonts w:ascii="Times New Roman" w:hAnsi="Times New Roman" w:cs="Times New Roman"/>
          <w:sz w:val="24"/>
          <w:szCs w:val="24"/>
        </w:rPr>
        <w:t xml:space="preserve"> листа заявления об экспертизы, такое заявление будет занимать будет 2 600 000 листов.</w:t>
      </w:r>
    </w:p>
    <w:p w14:paraId="5FBAD628" w14:textId="77777777" w:rsidR="00351F76" w:rsidRPr="00D86268" w:rsidRDefault="006F0970" w:rsidP="00817BE8">
      <w:pPr>
        <w:jc w:val="both"/>
        <w:rPr>
          <w:rFonts w:ascii="Times New Roman" w:hAnsi="Times New Roman" w:cs="Times New Roman"/>
          <w:sz w:val="24"/>
          <w:szCs w:val="24"/>
        </w:rPr>
      </w:pPr>
      <w:r w:rsidRPr="00D86268">
        <w:rPr>
          <w:rFonts w:ascii="Times New Roman" w:hAnsi="Times New Roman" w:cs="Times New Roman"/>
          <w:sz w:val="24"/>
          <w:szCs w:val="24"/>
        </w:rPr>
        <w:t xml:space="preserve">3. </w:t>
      </w:r>
      <w:r w:rsidR="00351F76" w:rsidRPr="00D86268">
        <w:rPr>
          <w:rFonts w:ascii="Times New Roman" w:hAnsi="Times New Roman" w:cs="Times New Roman"/>
          <w:sz w:val="24"/>
          <w:szCs w:val="24"/>
        </w:rPr>
        <w:t xml:space="preserve">Процедура ЕАЭС не предусматривает возможность отсутствия </w:t>
      </w:r>
      <w:r w:rsidR="00A90ABE" w:rsidRPr="00D86268">
        <w:rPr>
          <w:rFonts w:ascii="Times New Roman" w:hAnsi="Times New Roman" w:cs="Times New Roman"/>
          <w:sz w:val="24"/>
          <w:szCs w:val="24"/>
        </w:rPr>
        <w:t>(</w:t>
      </w:r>
      <w:proofErr w:type="spellStart"/>
      <w:r w:rsidR="00A90ABE" w:rsidRPr="00D86268">
        <w:rPr>
          <w:rFonts w:ascii="Times New Roman" w:hAnsi="Times New Roman" w:cs="Times New Roman"/>
          <w:sz w:val="24"/>
          <w:szCs w:val="24"/>
        </w:rPr>
        <w:t>неуказания</w:t>
      </w:r>
      <w:proofErr w:type="spellEnd"/>
      <w:r w:rsidR="00A90ABE" w:rsidRPr="00D86268">
        <w:rPr>
          <w:rFonts w:ascii="Times New Roman" w:hAnsi="Times New Roman" w:cs="Times New Roman"/>
          <w:sz w:val="24"/>
          <w:szCs w:val="24"/>
        </w:rPr>
        <w:t xml:space="preserve">) </w:t>
      </w:r>
      <w:r w:rsidR="00351F76" w:rsidRPr="00D86268">
        <w:rPr>
          <w:rFonts w:ascii="Times New Roman" w:hAnsi="Times New Roman" w:cs="Times New Roman"/>
          <w:sz w:val="24"/>
          <w:szCs w:val="24"/>
        </w:rPr>
        <w:t>государств признания</w:t>
      </w:r>
      <w:r w:rsidR="00A90ABE" w:rsidRPr="00D86268">
        <w:rPr>
          <w:rFonts w:ascii="Times New Roman" w:hAnsi="Times New Roman" w:cs="Times New Roman"/>
          <w:sz w:val="24"/>
          <w:szCs w:val="24"/>
        </w:rPr>
        <w:t xml:space="preserve"> в заявлениях о регистрации и экспертизе</w:t>
      </w:r>
      <w:r w:rsidR="00351F76" w:rsidRPr="00D86268">
        <w:rPr>
          <w:rFonts w:ascii="Times New Roman" w:hAnsi="Times New Roman" w:cs="Times New Roman"/>
          <w:sz w:val="24"/>
          <w:szCs w:val="24"/>
        </w:rPr>
        <w:t xml:space="preserve">. Таким образом, производители, желающие осуществлять обращение изделия только на территории одной страны, вынуждены заявлять, как минимум, одно государство признания. </w:t>
      </w:r>
      <w:r w:rsidR="00A90ABE" w:rsidRPr="00D86268">
        <w:rPr>
          <w:rFonts w:ascii="Times New Roman" w:hAnsi="Times New Roman" w:cs="Times New Roman"/>
          <w:sz w:val="24"/>
          <w:szCs w:val="24"/>
        </w:rPr>
        <w:t>За счет</w:t>
      </w:r>
      <w:r w:rsidR="006246FD" w:rsidRPr="00D86268">
        <w:rPr>
          <w:rFonts w:ascii="Times New Roman" w:hAnsi="Times New Roman" w:cs="Times New Roman"/>
          <w:sz w:val="24"/>
          <w:szCs w:val="24"/>
        </w:rPr>
        <w:t xml:space="preserve"> этого</w:t>
      </w:r>
      <w:r w:rsidR="00351F76" w:rsidRPr="00D86268">
        <w:rPr>
          <w:rFonts w:ascii="Times New Roman" w:hAnsi="Times New Roman" w:cs="Times New Roman"/>
          <w:sz w:val="24"/>
          <w:szCs w:val="24"/>
        </w:rPr>
        <w:t xml:space="preserve"> на производителя ложится дополнительная нагрузка по осуществлению мониторинга безопасности медицинского изделия в дополнительных странах.</w:t>
      </w:r>
    </w:p>
    <w:p w14:paraId="1DB6A1E9" w14:textId="77777777" w:rsidR="006246FD" w:rsidRPr="00D86268" w:rsidRDefault="006246FD" w:rsidP="00817BE8">
      <w:pPr>
        <w:jc w:val="both"/>
        <w:rPr>
          <w:rFonts w:ascii="Times New Roman" w:hAnsi="Times New Roman" w:cs="Times New Roman"/>
          <w:sz w:val="24"/>
          <w:szCs w:val="24"/>
        </w:rPr>
      </w:pPr>
      <w:r w:rsidRPr="00D86268">
        <w:rPr>
          <w:rFonts w:ascii="Times New Roman" w:hAnsi="Times New Roman" w:cs="Times New Roman"/>
          <w:sz w:val="24"/>
          <w:szCs w:val="24"/>
        </w:rPr>
        <w:t xml:space="preserve">Мониторинг безопасности включает в себя сбор, обработку, регистрацию и анализ информации о побочных действиях, не указанных в эксплуатационной документации на медицинское изделие и требует наличия в штате производителя специалистов необходимой компетенции. При этом при регистрации медицинского изделия во всех странах ЕАЭС необходимо, чтобы для адекватного анализа данных специалисты владели языками всех стран государств признания (белорусским, киргизским, казахским и армянским), так как медицинская документация ведется, как правило, на национальных языках. Таким образом, производителю требуется не менее 4 высококвалифицированных специалистов с </w:t>
      </w:r>
      <w:r w:rsidR="00B3253B" w:rsidRPr="00D86268">
        <w:rPr>
          <w:rFonts w:ascii="Times New Roman" w:hAnsi="Times New Roman" w:cs="Times New Roman"/>
          <w:sz w:val="24"/>
          <w:szCs w:val="24"/>
        </w:rPr>
        <w:lastRenderedPageBreak/>
        <w:t xml:space="preserve">ежемесячной </w:t>
      </w:r>
      <w:r w:rsidRPr="00D86268">
        <w:rPr>
          <w:rFonts w:ascii="Times New Roman" w:hAnsi="Times New Roman" w:cs="Times New Roman"/>
          <w:sz w:val="24"/>
          <w:szCs w:val="24"/>
        </w:rPr>
        <w:t xml:space="preserve">заработной платой </w:t>
      </w:r>
      <w:r w:rsidR="00B3253B" w:rsidRPr="00D86268">
        <w:rPr>
          <w:rFonts w:ascii="Times New Roman" w:hAnsi="Times New Roman" w:cs="Times New Roman"/>
          <w:sz w:val="24"/>
          <w:szCs w:val="24"/>
        </w:rPr>
        <w:t>примерно 62000 рублей нетто</w:t>
      </w:r>
      <w:r w:rsidR="00B3253B" w:rsidRPr="00D86268">
        <w:rPr>
          <w:rStyle w:val="a5"/>
          <w:rFonts w:ascii="Times New Roman" w:hAnsi="Times New Roman" w:cs="Times New Roman"/>
          <w:sz w:val="24"/>
          <w:szCs w:val="24"/>
        </w:rPr>
        <w:footnoteReference w:id="5"/>
      </w:r>
      <w:r w:rsidR="00B3253B" w:rsidRPr="00D86268">
        <w:rPr>
          <w:rFonts w:ascii="Times New Roman" w:hAnsi="Times New Roman" w:cs="Times New Roman"/>
          <w:sz w:val="24"/>
          <w:szCs w:val="24"/>
        </w:rPr>
        <w:t xml:space="preserve"> (71200 рублей брутто), что увеличит его расходы приблизительно на 3 417 600 рублей в год. Для многих производителей отечественных медицинских изделий, особенно относящимся к малому бизнесу, данная сумма является существенной. </w:t>
      </w:r>
    </w:p>
    <w:p w14:paraId="026E3845" w14:textId="77777777" w:rsidR="006F0970" w:rsidRPr="00D86268" w:rsidRDefault="00351F76" w:rsidP="00817BE8">
      <w:pPr>
        <w:jc w:val="both"/>
        <w:rPr>
          <w:rFonts w:ascii="Times New Roman" w:hAnsi="Times New Roman" w:cs="Times New Roman"/>
          <w:sz w:val="24"/>
          <w:szCs w:val="24"/>
        </w:rPr>
      </w:pPr>
      <w:r w:rsidRPr="00D86268">
        <w:rPr>
          <w:rFonts w:ascii="Times New Roman" w:hAnsi="Times New Roman" w:cs="Times New Roman"/>
          <w:sz w:val="24"/>
          <w:szCs w:val="24"/>
        </w:rPr>
        <w:t>4. Процедура ЕАЭС предусматривает согласование экспертного заключения государствами признания. Учитывая возможность разногласий мнений</w:t>
      </w:r>
      <w:r w:rsidR="00A90ABE" w:rsidRPr="00D86268">
        <w:rPr>
          <w:rFonts w:ascii="Times New Roman" w:hAnsi="Times New Roman" w:cs="Times New Roman"/>
          <w:sz w:val="24"/>
          <w:szCs w:val="24"/>
        </w:rPr>
        <w:t xml:space="preserve"> экспертных организаций</w:t>
      </w:r>
      <w:r w:rsidRPr="00D86268">
        <w:rPr>
          <w:rFonts w:ascii="Times New Roman" w:hAnsi="Times New Roman" w:cs="Times New Roman"/>
          <w:sz w:val="24"/>
          <w:szCs w:val="24"/>
        </w:rPr>
        <w:t>, данная особенность предусматривает дополнительную нагрузку на производителя.</w:t>
      </w:r>
      <w:r w:rsidR="00A90ABE" w:rsidRPr="00D86268">
        <w:rPr>
          <w:rFonts w:ascii="Times New Roman" w:hAnsi="Times New Roman" w:cs="Times New Roman"/>
          <w:sz w:val="24"/>
          <w:szCs w:val="24"/>
        </w:rPr>
        <w:t xml:space="preserve"> </w:t>
      </w:r>
    </w:p>
    <w:p w14:paraId="597173A0" w14:textId="77777777" w:rsidR="00B3253B" w:rsidRPr="00D86268" w:rsidRDefault="0003437E" w:rsidP="00817BE8">
      <w:pPr>
        <w:jc w:val="both"/>
        <w:rPr>
          <w:rFonts w:ascii="Times New Roman" w:hAnsi="Times New Roman" w:cs="Times New Roman"/>
          <w:sz w:val="24"/>
          <w:szCs w:val="24"/>
        </w:rPr>
      </w:pPr>
      <w:r w:rsidRPr="00D86268">
        <w:rPr>
          <w:rFonts w:ascii="Times New Roman" w:hAnsi="Times New Roman" w:cs="Times New Roman"/>
          <w:sz w:val="24"/>
          <w:szCs w:val="24"/>
        </w:rPr>
        <w:t>Например, в случае несогласования экспертного заключения со стороны одного из государств признания, производитель будет вынужден нести комплекс затрат на внесение изменений в документы, содержащиеся в регистрационном досье для устранения замечаний, что при проведении полного комплекса испытаний (исследований) будет достигать нескольких миллионов рублей.</w:t>
      </w:r>
    </w:p>
    <w:p w14:paraId="706DA2AE" w14:textId="77777777" w:rsidR="00351F76" w:rsidRPr="00D86268" w:rsidRDefault="00351F76" w:rsidP="00817BE8">
      <w:pPr>
        <w:jc w:val="both"/>
        <w:rPr>
          <w:rFonts w:ascii="Times New Roman" w:hAnsi="Times New Roman" w:cs="Times New Roman"/>
          <w:sz w:val="24"/>
          <w:szCs w:val="24"/>
        </w:rPr>
      </w:pPr>
      <w:r w:rsidRPr="00D86268">
        <w:rPr>
          <w:rFonts w:ascii="Times New Roman" w:hAnsi="Times New Roman" w:cs="Times New Roman"/>
          <w:sz w:val="24"/>
          <w:szCs w:val="24"/>
        </w:rPr>
        <w:t xml:space="preserve">5. Требования к </w:t>
      </w:r>
      <w:r w:rsidR="000F35AD" w:rsidRPr="00D86268">
        <w:rPr>
          <w:rFonts w:ascii="Times New Roman" w:hAnsi="Times New Roman" w:cs="Times New Roman"/>
          <w:sz w:val="24"/>
          <w:szCs w:val="24"/>
        </w:rPr>
        <w:t xml:space="preserve">содержанию </w:t>
      </w:r>
      <w:r w:rsidRPr="00D86268">
        <w:rPr>
          <w:rFonts w:ascii="Times New Roman" w:hAnsi="Times New Roman" w:cs="Times New Roman"/>
          <w:sz w:val="24"/>
          <w:szCs w:val="24"/>
        </w:rPr>
        <w:t>документ</w:t>
      </w:r>
      <w:r w:rsidR="000F35AD" w:rsidRPr="00D86268">
        <w:rPr>
          <w:rFonts w:ascii="Times New Roman" w:hAnsi="Times New Roman" w:cs="Times New Roman"/>
          <w:sz w:val="24"/>
          <w:szCs w:val="24"/>
        </w:rPr>
        <w:t>ов</w:t>
      </w:r>
      <w:r w:rsidRPr="00D86268">
        <w:rPr>
          <w:rFonts w:ascii="Times New Roman" w:hAnsi="Times New Roman" w:cs="Times New Roman"/>
          <w:sz w:val="24"/>
          <w:szCs w:val="24"/>
        </w:rPr>
        <w:t>, содержащи</w:t>
      </w:r>
      <w:r w:rsidR="006246FD" w:rsidRPr="00D86268">
        <w:rPr>
          <w:rFonts w:ascii="Times New Roman" w:hAnsi="Times New Roman" w:cs="Times New Roman"/>
          <w:sz w:val="24"/>
          <w:szCs w:val="24"/>
        </w:rPr>
        <w:t>х</w:t>
      </w:r>
      <w:r w:rsidRPr="00D86268">
        <w:rPr>
          <w:rFonts w:ascii="Times New Roman" w:hAnsi="Times New Roman" w:cs="Times New Roman"/>
          <w:sz w:val="24"/>
          <w:szCs w:val="24"/>
        </w:rPr>
        <w:t xml:space="preserve">ся в регистрационного досье, </w:t>
      </w:r>
      <w:r w:rsidR="00A90ABE" w:rsidRPr="00D86268">
        <w:rPr>
          <w:rFonts w:ascii="Times New Roman" w:hAnsi="Times New Roman" w:cs="Times New Roman"/>
          <w:sz w:val="24"/>
          <w:szCs w:val="24"/>
        </w:rPr>
        <w:t xml:space="preserve">в отдельных случаях </w:t>
      </w:r>
      <w:r w:rsidRPr="00D86268">
        <w:rPr>
          <w:rFonts w:ascii="Times New Roman" w:hAnsi="Times New Roman" w:cs="Times New Roman"/>
          <w:sz w:val="24"/>
          <w:szCs w:val="24"/>
        </w:rPr>
        <w:t>сформулированы не</w:t>
      </w:r>
      <w:r w:rsidR="00C12508" w:rsidRPr="00D86268">
        <w:rPr>
          <w:rFonts w:ascii="Times New Roman" w:hAnsi="Times New Roman" w:cs="Times New Roman"/>
          <w:sz w:val="24"/>
          <w:szCs w:val="24"/>
        </w:rPr>
        <w:t xml:space="preserve">достаточно </w:t>
      </w:r>
      <w:r w:rsidRPr="00D86268">
        <w:rPr>
          <w:rFonts w:ascii="Times New Roman" w:hAnsi="Times New Roman" w:cs="Times New Roman"/>
          <w:sz w:val="24"/>
          <w:szCs w:val="24"/>
        </w:rPr>
        <w:t xml:space="preserve">конкретно, </w:t>
      </w:r>
      <w:proofErr w:type="gramStart"/>
      <w:r w:rsidRPr="00D86268">
        <w:rPr>
          <w:rFonts w:ascii="Times New Roman" w:hAnsi="Times New Roman" w:cs="Times New Roman"/>
          <w:sz w:val="24"/>
          <w:szCs w:val="24"/>
        </w:rPr>
        <w:t>например</w:t>
      </w:r>
      <w:proofErr w:type="gramEnd"/>
      <w:r w:rsidRPr="00D86268">
        <w:rPr>
          <w:rFonts w:ascii="Times New Roman" w:hAnsi="Times New Roman" w:cs="Times New Roman"/>
          <w:sz w:val="24"/>
          <w:szCs w:val="24"/>
        </w:rPr>
        <w:t>:</w:t>
      </w:r>
    </w:p>
    <w:p w14:paraId="3906F116" w14:textId="77777777" w:rsidR="00351F76" w:rsidRPr="00D86268" w:rsidRDefault="00351F76" w:rsidP="00817BE8">
      <w:pPr>
        <w:jc w:val="both"/>
        <w:rPr>
          <w:rFonts w:ascii="Times New Roman" w:hAnsi="Times New Roman" w:cs="Times New Roman"/>
          <w:i/>
          <w:sz w:val="24"/>
          <w:szCs w:val="24"/>
        </w:rPr>
      </w:pPr>
      <w:r w:rsidRPr="00D86268">
        <w:rPr>
          <w:rFonts w:ascii="Times New Roman" w:hAnsi="Times New Roman" w:cs="Times New Roman"/>
          <w:i/>
          <w:sz w:val="24"/>
          <w:szCs w:val="24"/>
        </w:rPr>
        <w:t>«16) документ, устанавливающий требования к техническим характеристикам медицинского изделия - документ, составленный производителем, содержащий основные характеристики медицинского изделия (например, технические условия, стандарты организации, спецификации);»</w:t>
      </w:r>
      <w:r w:rsidRPr="00D86268">
        <w:rPr>
          <w:rStyle w:val="a5"/>
          <w:rFonts w:ascii="Times New Roman" w:hAnsi="Times New Roman" w:cs="Times New Roman"/>
          <w:i/>
          <w:sz w:val="24"/>
          <w:szCs w:val="24"/>
        </w:rPr>
        <w:footnoteReference w:id="6"/>
      </w:r>
    </w:p>
    <w:p w14:paraId="5A5BA6D7" w14:textId="77777777" w:rsidR="00351F76" w:rsidRPr="00D86268" w:rsidRDefault="000F35AD" w:rsidP="00817BE8">
      <w:pPr>
        <w:jc w:val="both"/>
        <w:rPr>
          <w:rFonts w:ascii="Times New Roman" w:hAnsi="Times New Roman" w:cs="Times New Roman"/>
          <w:sz w:val="24"/>
          <w:szCs w:val="24"/>
        </w:rPr>
      </w:pPr>
      <w:r w:rsidRPr="00D86268">
        <w:rPr>
          <w:rFonts w:ascii="Times New Roman" w:hAnsi="Times New Roman" w:cs="Times New Roman"/>
          <w:sz w:val="24"/>
          <w:szCs w:val="24"/>
        </w:rPr>
        <w:t xml:space="preserve">В данном примере понятие «основные характеристики» можно понимать, как очень широко, так и предельно узко, что </w:t>
      </w:r>
      <w:r w:rsidR="00A90ABE" w:rsidRPr="00D86268">
        <w:rPr>
          <w:rFonts w:ascii="Times New Roman" w:hAnsi="Times New Roman" w:cs="Times New Roman"/>
          <w:sz w:val="24"/>
          <w:szCs w:val="24"/>
        </w:rPr>
        <w:t>соз</w:t>
      </w:r>
      <w:r w:rsidRPr="00D86268">
        <w:rPr>
          <w:rFonts w:ascii="Times New Roman" w:hAnsi="Times New Roman" w:cs="Times New Roman"/>
          <w:sz w:val="24"/>
          <w:szCs w:val="24"/>
        </w:rPr>
        <w:t>дает эксперт</w:t>
      </w:r>
      <w:r w:rsidR="00A90ABE" w:rsidRPr="00D86268">
        <w:rPr>
          <w:rFonts w:ascii="Times New Roman" w:hAnsi="Times New Roman" w:cs="Times New Roman"/>
          <w:sz w:val="24"/>
          <w:szCs w:val="24"/>
        </w:rPr>
        <w:t>ным организациям</w:t>
      </w:r>
      <w:r w:rsidRPr="00D86268">
        <w:rPr>
          <w:rFonts w:ascii="Times New Roman" w:hAnsi="Times New Roman" w:cs="Times New Roman"/>
          <w:sz w:val="24"/>
          <w:szCs w:val="24"/>
        </w:rPr>
        <w:t xml:space="preserve"> предельно широкие возможности для замечаний. </w:t>
      </w:r>
      <w:r w:rsidR="00351F76" w:rsidRPr="00D86268">
        <w:rPr>
          <w:rFonts w:ascii="Times New Roman" w:hAnsi="Times New Roman" w:cs="Times New Roman"/>
          <w:sz w:val="24"/>
          <w:szCs w:val="24"/>
        </w:rPr>
        <w:t xml:space="preserve">Для сравнения, в рамках национальной процедуры РФ требования к технической и эксплуатационной документации установлены </w:t>
      </w:r>
      <w:r w:rsidRPr="00D86268">
        <w:rPr>
          <w:rFonts w:ascii="Times New Roman" w:hAnsi="Times New Roman" w:cs="Times New Roman"/>
          <w:sz w:val="24"/>
          <w:szCs w:val="24"/>
        </w:rPr>
        <w:t>Приказом Минздрава России от 19.01.2017 №11н, который четко и ясно формулирует конкретные требования к содержанию технической и эксплуатационной документации.</w:t>
      </w:r>
    </w:p>
    <w:p w14:paraId="091C7BBF" w14:textId="77777777" w:rsidR="00C12508" w:rsidRPr="00D86268" w:rsidRDefault="000F35AD" w:rsidP="00C12508">
      <w:pPr>
        <w:rPr>
          <w:rFonts w:ascii="Times New Roman" w:hAnsi="Times New Roman" w:cs="Times New Roman"/>
          <w:sz w:val="24"/>
          <w:szCs w:val="24"/>
        </w:rPr>
      </w:pPr>
      <w:r w:rsidRPr="00D86268">
        <w:rPr>
          <w:rFonts w:ascii="Times New Roman" w:hAnsi="Times New Roman" w:cs="Times New Roman"/>
          <w:sz w:val="24"/>
          <w:szCs w:val="24"/>
        </w:rPr>
        <w:t xml:space="preserve">6. </w:t>
      </w:r>
      <w:r w:rsidR="00C12508" w:rsidRPr="00D86268">
        <w:rPr>
          <w:rFonts w:ascii="Times New Roman" w:hAnsi="Times New Roman" w:cs="Times New Roman"/>
          <w:sz w:val="24"/>
          <w:szCs w:val="24"/>
        </w:rPr>
        <w:t xml:space="preserve">Терминология, используемая в процедуре ЕАЭС, требует существенной доработки и местами противоречива, что порождает негативные последствия при регистрации медицинских </w:t>
      </w:r>
      <w:r w:rsidR="006246FD" w:rsidRPr="00D86268">
        <w:rPr>
          <w:rFonts w:ascii="Times New Roman" w:hAnsi="Times New Roman" w:cs="Times New Roman"/>
          <w:sz w:val="24"/>
          <w:szCs w:val="24"/>
        </w:rPr>
        <w:t>изделий, например, в случае с термином «принадлежность»</w:t>
      </w:r>
      <w:r w:rsidR="00C12508" w:rsidRPr="00D86268">
        <w:rPr>
          <w:rFonts w:ascii="Times New Roman" w:hAnsi="Times New Roman" w:cs="Times New Roman"/>
          <w:sz w:val="24"/>
          <w:szCs w:val="24"/>
        </w:rPr>
        <w:t>:</w:t>
      </w:r>
    </w:p>
    <w:p w14:paraId="24C4089C" w14:textId="77777777" w:rsidR="00A7520A" w:rsidRPr="00A7520A" w:rsidRDefault="00A7520A" w:rsidP="00A7520A">
      <w:pPr>
        <w:jc w:val="right"/>
        <w:rPr>
          <w:rFonts w:ascii="Times New Roman" w:hAnsi="Times New Roman" w:cs="Times New Roman"/>
          <w:u w:val="single"/>
        </w:rPr>
      </w:pPr>
      <w:r w:rsidRPr="00A7520A">
        <w:rPr>
          <w:rFonts w:ascii="Times New Roman" w:hAnsi="Times New Roman" w:cs="Times New Roman"/>
          <w:u w:val="single"/>
        </w:rPr>
        <w:t>Таблица 1. Сравнение определения термина «принадлежность» в Решениях №46 Совета ЕЭК и №118 Коллегии ЕЭК.</w:t>
      </w:r>
    </w:p>
    <w:tbl>
      <w:tblPr>
        <w:tblStyle w:val="a7"/>
        <w:tblW w:w="0" w:type="auto"/>
        <w:tblLook w:val="04A0" w:firstRow="1" w:lastRow="0" w:firstColumn="1" w:lastColumn="0" w:noHBand="0" w:noVBand="1"/>
      </w:tblPr>
      <w:tblGrid>
        <w:gridCol w:w="4672"/>
        <w:gridCol w:w="4673"/>
      </w:tblGrid>
      <w:tr w:rsidR="00C12508" w14:paraId="3D711F2A" w14:textId="77777777" w:rsidTr="00C12508">
        <w:tc>
          <w:tcPr>
            <w:tcW w:w="4672" w:type="dxa"/>
          </w:tcPr>
          <w:p w14:paraId="0F8B0152" w14:textId="77777777" w:rsidR="00C12508" w:rsidRPr="00C12508" w:rsidRDefault="00C12508" w:rsidP="00C12508">
            <w:pPr>
              <w:jc w:val="cente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Определение из Решения №46 Совета ЕЭК </w:t>
            </w:r>
          </w:p>
        </w:tc>
        <w:tc>
          <w:tcPr>
            <w:tcW w:w="4673" w:type="dxa"/>
          </w:tcPr>
          <w:p w14:paraId="62BE668D" w14:textId="77777777" w:rsidR="00C12508" w:rsidRPr="00C12508" w:rsidRDefault="00C12508" w:rsidP="00C12508">
            <w:pPr>
              <w:jc w:val="center"/>
              <w:rPr>
                <w:rFonts w:ascii="Times New Roman" w:hAnsi="Times New Roman" w:cs="Times New Roman"/>
                <w:i/>
              </w:rPr>
            </w:pPr>
            <w:r>
              <w:rPr>
                <w:rFonts w:ascii="Times New Roman" w:hAnsi="Times New Roman" w:cs="Times New Roman"/>
                <w:i/>
              </w:rPr>
              <w:t>Цитата из Решения №118 Коллегии ЕЭК</w:t>
            </w:r>
            <w:r>
              <w:rPr>
                <w:rStyle w:val="a5"/>
                <w:rFonts w:ascii="Times New Roman" w:hAnsi="Times New Roman" w:cs="Times New Roman"/>
                <w:i/>
              </w:rPr>
              <w:footnoteReference w:id="7"/>
            </w:r>
          </w:p>
        </w:tc>
      </w:tr>
      <w:tr w:rsidR="00C12508" w14:paraId="5D9754BA" w14:textId="77777777" w:rsidTr="00C12508">
        <w:tc>
          <w:tcPr>
            <w:tcW w:w="4672" w:type="dxa"/>
          </w:tcPr>
          <w:p w14:paraId="37C57656" w14:textId="77777777" w:rsidR="00C12508" w:rsidRDefault="00C12508" w:rsidP="00C12508">
            <w:pPr>
              <w:rPr>
                <w:rFonts w:ascii="Times New Roman" w:hAnsi="Times New Roman" w:cs="Times New Roman"/>
              </w:rPr>
            </w:pPr>
            <w:r w:rsidRPr="00C12508">
              <w:rPr>
                <w:rFonts w:ascii="Times New Roman" w:hAnsi="Times New Roman" w:cs="Times New Roman"/>
              </w:rPr>
              <w:t>"принадлежность"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r>
              <w:rPr>
                <w:rStyle w:val="a5"/>
                <w:rFonts w:ascii="Times New Roman" w:hAnsi="Times New Roman" w:cs="Times New Roman"/>
              </w:rPr>
              <w:footnoteReference w:id="8"/>
            </w:r>
          </w:p>
        </w:tc>
        <w:tc>
          <w:tcPr>
            <w:tcW w:w="4673" w:type="dxa"/>
          </w:tcPr>
          <w:p w14:paraId="2D59802F" w14:textId="77777777" w:rsidR="00C12508" w:rsidRDefault="00C12508" w:rsidP="00C12508">
            <w:pPr>
              <w:rPr>
                <w:rFonts w:ascii="Times New Roman" w:hAnsi="Times New Roman" w:cs="Times New Roman"/>
              </w:rPr>
            </w:pPr>
            <w:r w:rsidRPr="00C12508">
              <w:rPr>
                <w:rFonts w:ascii="Times New Roman" w:hAnsi="Times New Roman" w:cs="Times New Roman"/>
              </w:rPr>
              <w:t xml:space="preserve">в) если элемент не является изделием или материалом, расходуемыми при использовании медицинского изделия, обеспечивающими проведение манипуляций в соответствии с функциональным назначением медицинского изделия, и </w:t>
            </w:r>
            <w:r w:rsidRPr="00C12508">
              <w:rPr>
                <w:rFonts w:ascii="Times New Roman" w:hAnsi="Times New Roman" w:cs="Times New Roman"/>
                <w:b/>
              </w:rPr>
              <w:t xml:space="preserve">выпускается в обращение в рамках Евразийского экономического союза не от имени </w:t>
            </w:r>
            <w:r w:rsidRPr="00C12508">
              <w:rPr>
                <w:rFonts w:ascii="Times New Roman" w:hAnsi="Times New Roman" w:cs="Times New Roman"/>
                <w:b/>
              </w:rPr>
              <w:lastRenderedPageBreak/>
              <w:t>производителя медицинского изделия, а от имени производителя элемента</w:t>
            </w:r>
            <w:r w:rsidRPr="00C12508">
              <w:rPr>
                <w:rFonts w:ascii="Times New Roman" w:hAnsi="Times New Roman" w:cs="Times New Roman"/>
              </w:rPr>
              <w:t>, при этом</w:t>
            </w:r>
            <w:r>
              <w:rPr>
                <w:rFonts w:ascii="Times New Roman" w:hAnsi="Times New Roman" w:cs="Times New Roman"/>
              </w:rPr>
              <w:t xml:space="preserve"> </w:t>
            </w:r>
            <w:r w:rsidRPr="00C12508">
              <w:rPr>
                <w:rFonts w:ascii="Times New Roman" w:hAnsi="Times New Roman" w:cs="Times New Roman"/>
              </w:rPr>
              <w:t>не является медицинским изделием и специально предназначен его производителем для совместного применения с медицинским изделием, то такой элемент относится к принадлежностям медицинского изделия;</w:t>
            </w:r>
          </w:p>
        </w:tc>
      </w:tr>
    </w:tbl>
    <w:p w14:paraId="119A529E" w14:textId="77777777" w:rsidR="00C12508" w:rsidRDefault="00C12508" w:rsidP="00C12508">
      <w:pPr>
        <w:rPr>
          <w:rFonts w:ascii="Times New Roman" w:hAnsi="Times New Roman" w:cs="Times New Roman"/>
        </w:rPr>
      </w:pPr>
    </w:p>
    <w:p w14:paraId="68603237" w14:textId="77777777" w:rsidR="00C12508" w:rsidRPr="00C95ED2" w:rsidRDefault="00C12508" w:rsidP="00911917">
      <w:pPr>
        <w:rPr>
          <w:rFonts w:ascii="Times New Roman" w:hAnsi="Times New Roman" w:cs="Times New Roman"/>
          <w:sz w:val="24"/>
          <w:szCs w:val="24"/>
        </w:rPr>
      </w:pPr>
      <w:r w:rsidRPr="00C95ED2">
        <w:rPr>
          <w:rFonts w:ascii="Times New Roman" w:hAnsi="Times New Roman" w:cs="Times New Roman"/>
          <w:sz w:val="24"/>
          <w:szCs w:val="24"/>
        </w:rPr>
        <w:t xml:space="preserve">Таким образом, Решение №118 Коллегии ЕЭК устанавливает дополнительный критерий, что принадлежности должны обязательно выпускаться в обращение не от лица производителя медицинского изделия, отчасти противоречащий определению из Решения №46 Совета ЕЭК. </w:t>
      </w:r>
    </w:p>
    <w:p w14:paraId="4D73585F" w14:textId="77777777" w:rsidR="00C12508" w:rsidRPr="00C95ED2" w:rsidRDefault="009F0E20" w:rsidP="00911917">
      <w:pPr>
        <w:rPr>
          <w:rFonts w:ascii="Times New Roman" w:hAnsi="Times New Roman" w:cs="Times New Roman"/>
          <w:sz w:val="24"/>
          <w:szCs w:val="24"/>
        </w:rPr>
      </w:pPr>
      <w:r w:rsidRPr="00C95ED2">
        <w:rPr>
          <w:rFonts w:ascii="Times New Roman" w:hAnsi="Times New Roman" w:cs="Times New Roman"/>
          <w:sz w:val="24"/>
          <w:szCs w:val="24"/>
        </w:rPr>
        <w:t xml:space="preserve">Из Схемы типового алгоритма, применяемого при отнесении элемента медицинского изделия к составной части медицинского изделия, приведенной в упомянутом Решении №118 Коллегии ЕЭК, следует, что один и тот же компонент, в зависимости от его производителя, может относиться либо к принадлежностям, либо к основным блокам. </w:t>
      </w:r>
    </w:p>
    <w:p w14:paraId="5D122008" w14:textId="77777777" w:rsidR="009F0E20" w:rsidRPr="00C95ED2" w:rsidRDefault="009F0E20" w:rsidP="00911917">
      <w:pPr>
        <w:rPr>
          <w:rFonts w:ascii="Times New Roman" w:hAnsi="Times New Roman" w:cs="Times New Roman"/>
          <w:sz w:val="24"/>
          <w:szCs w:val="24"/>
        </w:rPr>
      </w:pPr>
      <w:r w:rsidRPr="00C95ED2">
        <w:rPr>
          <w:rFonts w:ascii="Times New Roman" w:hAnsi="Times New Roman" w:cs="Times New Roman"/>
          <w:sz w:val="24"/>
          <w:szCs w:val="24"/>
        </w:rPr>
        <w:t>При этом отнесение к основному блоку вынуждает производителя всегда поставлять компонент, задумывавшийся как принадлежность, со</w:t>
      </w:r>
      <w:r w:rsidR="000E3A1F" w:rsidRPr="00C95ED2">
        <w:rPr>
          <w:rFonts w:ascii="Times New Roman" w:hAnsi="Times New Roman" w:cs="Times New Roman"/>
          <w:sz w:val="24"/>
          <w:szCs w:val="24"/>
        </w:rPr>
        <w:t>вместно с медицинским изделием, даже в случае отсутствия потребности у заказчика в этом компоненте.</w:t>
      </w:r>
    </w:p>
    <w:p w14:paraId="1B63C5D9" w14:textId="77777777" w:rsidR="000E3A1F" w:rsidRPr="00C95ED2" w:rsidRDefault="00163605" w:rsidP="00817BE8">
      <w:pPr>
        <w:jc w:val="both"/>
        <w:rPr>
          <w:rFonts w:ascii="Times New Roman" w:hAnsi="Times New Roman" w:cs="Times New Roman"/>
          <w:sz w:val="24"/>
          <w:szCs w:val="24"/>
        </w:rPr>
      </w:pPr>
      <w:r w:rsidRPr="00C95ED2">
        <w:rPr>
          <w:rFonts w:ascii="Times New Roman" w:hAnsi="Times New Roman" w:cs="Times New Roman"/>
          <w:sz w:val="24"/>
          <w:szCs w:val="24"/>
        </w:rPr>
        <w:t>7</w:t>
      </w:r>
      <w:r w:rsidR="000F35AD" w:rsidRPr="00C95ED2">
        <w:rPr>
          <w:rFonts w:ascii="Times New Roman" w:hAnsi="Times New Roman" w:cs="Times New Roman"/>
          <w:sz w:val="24"/>
          <w:szCs w:val="24"/>
        </w:rPr>
        <w:t xml:space="preserve">. </w:t>
      </w:r>
      <w:r w:rsidR="000E3A1F" w:rsidRPr="00C95ED2">
        <w:rPr>
          <w:rFonts w:ascii="Times New Roman" w:hAnsi="Times New Roman" w:cs="Times New Roman"/>
          <w:sz w:val="24"/>
          <w:szCs w:val="24"/>
        </w:rPr>
        <w:t>Специализированный разрешительный документ для ввоза с целью проведения испытаний образцов зарубежных медицинских изделий и отечественных медицинских изделий, производимых на иностранных производственных площадках, подобный разрешению на ввоз медицинского изделия, процесс получения которого в национальной процедуре РФ четко регламентирован</w:t>
      </w:r>
      <w:r w:rsidR="000E3A1F" w:rsidRPr="00C95ED2">
        <w:rPr>
          <w:sz w:val="24"/>
          <w:szCs w:val="24"/>
        </w:rPr>
        <w:t xml:space="preserve"> </w:t>
      </w:r>
      <w:r w:rsidR="000E3A1F" w:rsidRPr="00C95ED2">
        <w:rPr>
          <w:rFonts w:ascii="Times New Roman" w:hAnsi="Times New Roman" w:cs="Times New Roman"/>
          <w:sz w:val="24"/>
          <w:szCs w:val="24"/>
        </w:rPr>
        <w:t>Приказом Минздрава России от 30.06.2020 №661н «Об утверждении Порядка ввоза на территорию Российской Федерации медицинских изделий в целях государственной регистрации», в процедуре ЕАЭС отсутствует. Это влечет усложнение таможенных процедур при ввозе образцов таких медицинских изделий на территорию Российской Федерации.</w:t>
      </w:r>
    </w:p>
    <w:p w14:paraId="5DA9E1BC" w14:textId="77777777" w:rsidR="000E3A1F" w:rsidRPr="00C95ED2" w:rsidRDefault="00163605" w:rsidP="00817BE8">
      <w:pPr>
        <w:jc w:val="both"/>
        <w:rPr>
          <w:rFonts w:ascii="Times New Roman" w:hAnsi="Times New Roman" w:cs="Times New Roman"/>
          <w:sz w:val="24"/>
          <w:szCs w:val="24"/>
        </w:rPr>
      </w:pPr>
      <w:r w:rsidRPr="00C95ED2">
        <w:rPr>
          <w:rFonts w:ascii="Times New Roman" w:hAnsi="Times New Roman" w:cs="Times New Roman"/>
          <w:sz w:val="24"/>
          <w:szCs w:val="24"/>
        </w:rPr>
        <w:t>8</w:t>
      </w:r>
      <w:r w:rsidR="000E3A1F" w:rsidRPr="00C95ED2">
        <w:rPr>
          <w:rFonts w:ascii="Times New Roman" w:hAnsi="Times New Roman" w:cs="Times New Roman"/>
          <w:sz w:val="24"/>
          <w:szCs w:val="24"/>
        </w:rPr>
        <w:t>.</w:t>
      </w:r>
      <w:r w:rsidR="006E5D98" w:rsidRPr="00C95ED2">
        <w:rPr>
          <w:rFonts w:ascii="Times New Roman" w:hAnsi="Times New Roman" w:cs="Times New Roman"/>
          <w:sz w:val="24"/>
          <w:szCs w:val="24"/>
        </w:rPr>
        <w:t xml:space="preserve"> Классификатор областей применения медицинских изделий, утвержденный Решением Коллегии ЕЭК от 16.04.2019 №62 «О классификаторе областей медицинского применения медицинских изделий», содержит ограниченный перечень областей медицинского применения медицинских изделий. При этом на практике эксперты регистрирующих органов </w:t>
      </w:r>
      <w:r w:rsidR="003A2E2C" w:rsidRPr="00C95ED2">
        <w:rPr>
          <w:rFonts w:ascii="Times New Roman" w:hAnsi="Times New Roman" w:cs="Times New Roman"/>
          <w:sz w:val="24"/>
          <w:szCs w:val="24"/>
        </w:rPr>
        <w:t xml:space="preserve">при регистрации медицинского изделия по процедуре ЕАЭС </w:t>
      </w:r>
      <w:r w:rsidR="006E5D98" w:rsidRPr="00C95ED2">
        <w:rPr>
          <w:rFonts w:ascii="Times New Roman" w:hAnsi="Times New Roman" w:cs="Times New Roman"/>
          <w:sz w:val="24"/>
          <w:szCs w:val="24"/>
        </w:rPr>
        <w:t>требуют указани</w:t>
      </w:r>
      <w:r w:rsidR="003A2E2C" w:rsidRPr="00C95ED2">
        <w:rPr>
          <w:rFonts w:ascii="Times New Roman" w:hAnsi="Times New Roman" w:cs="Times New Roman"/>
          <w:sz w:val="24"/>
          <w:szCs w:val="24"/>
        </w:rPr>
        <w:t>я</w:t>
      </w:r>
      <w:r w:rsidR="006E5D98" w:rsidRPr="00C95ED2">
        <w:rPr>
          <w:rFonts w:ascii="Times New Roman" w:hAnsi="Times New Roman" w:cs="Times New Roman"/>
          <w:sz w:val="24"/>
          <w:szCs w:val="24"/>
        </w:rPr>
        <w:t xml:space="preserve"> в заявлениях о регистрации и экспертизе медицинского изделия области медицинского применения в соответствии с вышеуказанным классификатором. </w:t>
      </w:r>
    </w:p>
    <w:p w14:paraId="5945C336" w14:textId="03DB4072" w:rsidR="006E5D98" w:rsidRPr="00C95ED2" w:rsidRDefault="006E5D98" w:rsidP="00817BE8">
      <w:pPr>
        <w:jc w:val="both"/>
        <w:rPr>
          <w:rFonts w:ascii="Times New Roman" w:hAnsi="Times New Roman" w:cs="Times New Roman"/>
          <w:sz w:val="24"/>
          <w:szCs w:val="24"/>
        </w:rPr>
      </w:pPr>
      <w:r w:rsidRPr="00C95ED2">
        <w:rPr>
          <w:rFonts w:ascii="Times New Roman" w:hAnsi="Times New Roman" w:cs="Times New Roman"/>
          <w:sz w:val="24"/>
          <w:szCs w:val="24"/>
        </w:rPr>
        <w:t>Таким образом, для медицински</w:t>
      </w:r>
      <w:r w:rsidR="003A2E2C" w:rsidRPr="00C95ED2">
        <w:rPr>
          <w:rFonts w:ascii="Times New Roman" w:hAnsi="Times New Roman" w:cs="Times New Roman"/>
          <w:sz w:val="24"/>
          <w:szCs w:val="24"/>
        </w:rPr>
        <w:t>х</w:t>
      </w:r>
      <w:r w:rsidRPr="00C95ED2">
        <w:rPr>
          <w:rFonts w:ascii="Times New Roman" w:hAnsi="Times New Roman" w:cs="Times New Roman"/>
          <w:sz w:val="24"/>
          <w:szCs w:val="24"/>
        </w:rPr>
        <w:t xml:space="preserve"> изделий, имеющих специализированную область медицинского применения (например, «</w:t>
      </w:r>
      <w:proofErr w:type="spellStart"/>
      <w:r w:rsidRPr="00C95ED2">
        <w:rPr>
          <w:rFonts w:ascii="Times New Roman" w:hAnsi="Times New Roman" w:cs="Times New Roman"/>
          <w:sz w:val="24"/>
          <w:szCs w:val="24"/>
        </w:rPr>
        <w:t>сурдология</w:t>
      </w:r>
      <w:proofErr w:type="spellEnd"/>
      <w:r w:rsidRPr="00C95ED2">
        <w:rPr>
          <w:rFonts w:ascii="Times New Roman" w:hAnsi="Times New Roman" w:cs="Times New Roman"/>
          <w:sz w:val="24"/>
          <w:szCs w:val="24"/>
        </w:rPr>
        <w:t xml:space="preserve">», «венерология», «эстетическая медицина»), </w:t>
      </w:r>
      <w:r w:rsidR="0003437E" w:rsidRPr="00C95ED2">
        <w:rPr>
          <w:rFonts w:ascii="Times New Roman" w:hAnsi="Times New Roman" w:cs="Times New Roman"/>
          <w:sz w:val="24"/>
          <w:szCs w:val="24"/>
        </w:rPr>
        <w:t xml:space="preserve">производители </w:t>
      </w:r>
      <w:r w:rsidRPr="00C95ED2">
        <w:rPr>
          <w:rFonts w:ascii="Times New Roman" w:hAnsi="Times New Roman" w:cs="Times New Roman"/>
          <w:sz w:val="24"/>
          <w:szCs w:val="24"/>
        </w:rPr>
        <w:t>вынуждены указывать «другое» или наиболее близкую область медицинского применения, что создает значительные сложности при согласовании Отчета о клиническом доказательстве эффективности и безопасности медицинского изделия с медицинским специалистом в области медицинского применения медицинского изделия.</w:t>
      </w:r>
    </w:p>
    <w:p w14:paraId="645EC741" w14:textId="77777777" w:rsidR="0003437E" w:rsidRPr="00C95ED2" w:rsidRDefault="0003437E" w:rsidP="00817BE8">
      <w:pPr>
        <w:jc w:val="both"/>
        <w:rPr>
          <w:rFonts w:ascii="Times New Roman" w:hAnsi="Times New Roman" w:cs="Times New Roman"/>
          <w:sz w:val="24"/>
          <w:szCs w:val="24"/>
        </w:rPr>
      </w:pPr>
      <w:proofErr w:type="gramStart"/>
      <w:r w:rsidRPr="00C95ED2">
        <w:rPr>
          <w:rFonts w:ascii="Times New Roman" w:hAnsi="Times New Roman" w:cs="Times New Roman"/>
          <w:sz w:val="24"/>
          <w:szCs w:val="24"/>
        </w:rPr>
        <w:t>Например</w:t>
      </w:r>
      <w:proofErr w:type="gramEnd"/>
      <w:r w:rsidRPr="00C95ED2">
        <w:rPr>
          <w:rFonts w:ascii="Times New Roman" w:hAnsi="Times New Roman" w:cs="Times New Roman"/>
          <w:sz w:val="24"/>
          <w:szCs w:val="24"/>
        </w:rPr>
        <w:t>:</w:t>
      </w:r>
    </w:p>
    <w:p w14:paraId="230F043F" w14:textId="77777777" w:rsidR="0003437E" w:rsidRPr="00C95ED2" w:rsidRDefault="0003437E" w:rsidP="00817BE8">
      <w:pPr>
        <w:jc w:val="both"/>
        <w:rPr>
          <w:rFonts w:ascii="Times New Roman" w:hAnsi="Times New Roman" w:cs="Times New Roman"/>
          <w:sz w:val="24"/>
          <w:szCs w:val="24"/>
        </w:rPr>
      </w:pPr>
      <w:r w:rsidRPr="00C95ED2">
        <w:rPr>
          <w:rFonts w:ascii="Times New Roman" w:hAnsi="Times New Roman" w:cs="Times New Roman"/>
          <w:sz w:val="24"/>
          <w:szCs w:val="24"/>
        </w:rPr>
        <w:t xml:space="preserve">а) слуховые аппараты используются в узкой области медицинского применения медицинских изделий – </w:t>
      </w:r>
      <w:proofErr w:type="spellStart"/>
      <w:r w:rsidRPr="00C95ED2">
        <w:rPr>
          <w:rFonts w:ascii="Times New Roman" w:hAnsi="Times New Roman" w:cs="Times New Roman"/>
          <w:sz w:val="24"/>
          <w:szCs w:val="24"/>
        </w:rPr>
        <w:t>сурдологии</w:t>
      </w:r>
      <w:proofErr w:type="spellEnd"/>
      <w:r w:rsidRPr="00C95ED2">
        <w:rPr>
          <w:rFonts w:ascii="Times New Roman" w:hAnsi="Times New Roman" w:cs="Times New Roman"/>
          <w:sz w:val="24"/>
          <w:szCs w:val="24"/>
        </w:rPr>
        <w:t xml:space="preserve">. Однако, эта область медицинского применения отсутствует в вышеуказанном классификаторе. В связи с этим Отчет о клиническом </w:t>
      </w:r>
      <w:r w:rsidRPr="00C95ED2">
        <w:rPr>
          <w:rFonts w:ascii="Times New Roman" w:hAnsi="Times New Roman" w:cs="Times New Roman"/>
          <w:sz w:val="24"/>
          <w:szCs w:val="24"/>
        </w:rPr>
        <w:lastRenderedPageBreak/>
        <w:t>доказательстве эффективности и безопасности медицинского изделия согласовывается с врачом-</w:t>
      </w:r>
      <w:proofErr w:type="spellStart"/>
      <w:r w:rsidRPr="00C95ED2">
        <w:rPr>
          <w:rFonts w:ascii="Times New Roman" w:hAnsi="Times New Roman" w:cs="Times New Roman"/>
          <w:sz w:val="24"/>
          <w:szCs w:val="24"/>
        </w:rPr>
        <w:t>оториноларингологом</w:t>
      </w:r>
      <w:proofErr w:type="spellEnd"/>
      <w:r w:rsidRPr="00C95ED2">
        <w:rPr>
          <w:rFonts w:ascii="Times New Roman" w:hAnsi="Times New Roman" w:cs="Times New Roman"/>
          <w:sz w:val="24"/>
          <w:szCs w:val="24"/>
        </w:rPr>
        <w:t xml:space="preserve"> (врачом более широкой специализации), что не в полной мере позволяет оценить эффективность медицинского изделия.</w:t>
      </w:r>
    </w:p>
    <w:p w14:paraId="1222B37D" w14:textId="0A521CB9" w:rsidR="0003437E" w:rsidRPr="00C95ED2" w:rsidRDefault="0003437E" w:rsidP="006C18E5">
      <w:pPr>
        <w:jc w:val="both"/>
        <w:rPr>
          <w:rFonts w:ascii="Times New Roman" w:hAnsi="Times New Roman" w:cs="Times New Roman"/>
          <w:sz w:val="24"/>
          <w:szCs w:val="24"/>
        </w:rPr>
      </w:pPr>
      <w:r w:rsidRPr="00C95ED2">
        <w:rPr>
          <w:rFonts w:ascii="Times New Roman" w:hAnsi="Times New Roman" w:cs="Times New Roman"/>
          <w:sz w:val="24"/>
          <w:szCs w:val="24"/>
        </w:rPr>
        <w:t xml:space="preserve">б) </w:t>
      </w:r>
      <w:r w:rsidR="006C18E5" w:rsidRPr="00C95ED2">
        <w:rPr>
          <w:rFonts w:ascii="Times New Roman" w:hAnsi="Times New Roman" w:cs="Times New Roman"/>
          <w:sz w:val="24"/>
          <w:szCs w:val="24"/>
        </w:rPr>
        <w:t>инструменты и специализированное оборудование для удаления катаракты (</w:t>
      </w:r>
      <w:proofErr w:type="spellStart"/>
      <w:r w:rsidR="006C18E5" w:rsidRPr="00C95ED2">
        <w:rPr>
          <w:rFonts w:ascii="Times New Roman" w:hAnsi="Times New Roman" w:cs="Times New Roman"/>
          <w:sz w:val="24"/>
          <w:szCs w:val="24"/>
        </w:rPr>
        <w:t>факоэмульсификации</w:t>
      </w:r>
      <w:proofErr w:type="spellEnd"/>
      <w:r w:rsidR="006C18E5" w:rsidRPr="00C95ED2">
        <w:rPr>
          <w:rFonts w:ascii="Times New Roman" w:hAnsi="Times New Roman" w:cs="Times New Roman"/>
          <w:sz w:val="24"/>
          <w:szCs w:val="24"/>
        </w:rPr>
        <w:t>) используются в узкой области медицинского применения медицинских изделий – глазной хирургии.  Однако, эта область медицинского применения также отсутствует в вышеуказанном классификаторе. В связи с этим Отчет о клиническом доказательстве эффективности и безопасности медицинского изделия согласовывается с врачом-офтальмологом либо врачом-хирургом общей хирургии, что не в полной мере позволяет оценить эффективность медицинского изделия.</w:t>
      </w:r>
    </w:p>
    <w:p w14:paraId="584C8AA4" w14:textId="77777777" w:rsidR="003A2E2C" w:rsidRPr="00C95ED2" w:rsidRDefault="00163605" w:rsidP="003A2E2C">
      <w:pPr>
        <w:jc w:val="both"/>
        <w:rPr>
          <w:rFonts w:ascii="Times New Roman" w:hAnsi="Times New Roman" w:cs="Times New Roman"/>
          <w:sz w:val="24"/>
          <w:szCs w:val="24"/>
        </w:rPr>
      </w:pPr>
      <w:r w:rsidRPr="00C95ED2">
        <w:rPr>
          <w:rFonts w:ascii="Times New Roman" w:hAnsi="Times New Roman" w:cs="Times New Roman"/>
          <w:sz w:val="24"/>
          <w:szCs w:val="24"/>
        </w:rPr>
        <w:t>9</w:t>
      </w:r>
      <w:r w:rsidR="006E5D98" w:rsidRPr="00C95ED2">
        <w:rPr>
          <w:rFonts w:ascii="Times New Roman" w:hAnsi="Times New Roman" w:cs="Times New Roman"/>
          <w:sz w:val="24"/>
          <w:szCs w:val="24"/>
        </w:rPr>
        <w:t xml:space="preserve">. </w:t>
      </w:r>
      <w:r w:rsidR="003A2E2C" w:rsidRPr="00C95ED2">
        <w:rPr>
          <w:rFonts w:ascii="Times New Roman" w:hAnsi="Times New Roman" w:cs="Times New Roman"/>
          <w:sz w:val="24"/>
          <w:szCs w:val="24"/>
        </w:rPr>
        <w:t>При проведении испытаний (исследований) с целью оценки биологического действия и технических испытаний в процедуре ЕАЭС должен использоваться перечень стандартов,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 утвержденный Рекомендацией Коллегии ЕЭК от 04.09.2017 №17 «О перечне стандартов,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14:paraId="527346D1" w14:textId="0D441435" w:rsidR="00AF7A0F" w:rsidRPr="00C95ED2" w:rsidRDefault="003A2E2C" w:rsidP="003A2E2C">
      <w:pPr>
        <w:jc w:val="both"/>
        <w:rPr>
          <w:rFonts w:ascii="Times New Roman" w:hAnsi="Times New Roman" w:cs="Times New Roman"/>
          <w:sz w:val="24"/>
          <w:szCs w:val="24"/>
        </w:rPr>
      </w:pPr>
      <w:r w:rsidRPr="00C95ED2">
        <w:rPr>
          <w:rFonts w:ascii="Times New Roman" w:hAnsi="Times New Roman" w:cs="Times New Roman"/>
          <w:sz w:val="24"/>
          <w:szCs w:val="24"/>
        </w:rPr>
        <w:t>Де-факто испытательные лаборатории отказывают в испытаниях медицинских изделий на стандарты, не включенные в указанный перечень. При этом перечень может обновляться только соответствующ</w:t>
      </w:r>
      <w:r w:rsidR="00AF7A0F" w:rsidRPr="00C95ED2">
        <w:rPr>
          <w:rFonts w:ascii="Times New Roman" w:hAnsi="Times New Roman" w:cs="Times New Roman"/>
          <w:sz w:val="24"/>
          <w:szCs w:val="24"/>
        </w:rPr>
        <w:t>ей</w:t>
      </w:r>
      <w:r w:rsidRPr="00C95ED2">
        <w:rPr>
          <w:rFonts w:ascii="Times New Roman" w:hAnsi="Times New Roman" w:cs="Times New Roman"/>
          <w:sz w:val="24"/>
          <w:szCs w:val="24"/>
        </w:rPr>
        <w:t xml:space="preserve"> </w:t>
      </w:r>
      <w:r w:rsidR="00AF7A0F" w:rsidRPr="00C95ED2">
        <w:rPr>
          <w:rFonts w:ascii="Times New Roman" w:hAnsi="Times New Roman" w:cs="Times New Roman"/>
          <w:sz w:val="24"/>
          <w:szCs w:val="24"/>
        </w:rPr>
        <w:t>Рекомендацией</w:t>
      </w:r>
      <w:r w:rsidRPr="00C95ED2">
        <w:rPr>
          <w:rFonts w:ascii="Times New Roman" w:hAnsi="Times New Roman" w:cs="Times New Roman"/>
          <w:sz w:val="24"/>
          <w:szCs w:val="24"/>
        </w:rPr>
        <w:t xml:space="preserve"> Коллегии ЕЭК.</w:t>
      </w:r>
      <w:r w:rsidR="00AF7A0F" w:rsidRPr="00C95ED2">
        <w:rPr>
          <w:rFonts w:ascii="Times New Roman" w:hAnsi="Times New Roman" w:cs="Times New Roman"/>
          <w:sz w:val="24"/>
          <w:szCs w:val="24"/>
        </w:rPr>
        <w:t xml:space="preserve"> В данный момент действует версия перечня, опубликованная на Официальном сайте Евразийского Экономического Союза 10 июня 2021 г.</w:t>
      </w:r>
      <w:r w:rsidR="00AF7A0F" w:rsidRPr="00C95ED2">
        <w:rPr>
          <w:rStyle w:val="a5"/>
          <w:rFonts w:ascii="Times New Roman" w:hAnsi="Times New Roman" w:cs="Times New Roman"/>
          <w:sz w:val="24"/>
          <w:szCs w:val="24"/>
        </w:rPr>
        <w:footnoteReference w:id="9"/>
      </w:r>
      <w:r w:rsidR="00AF7A0F" w:rsidRPr="00C95ED2">
        <w:rPr>
          <w:rFonts w:ascii="Times New Roman" w:hAnsi="Times New Roman" w:cs="Times New Roman"/>
          <w:sz w:val="24"/>
          <w:szCs w:val="24"/>
        </w:rPr>
        <w:t>, и вступившая в силу по истечении 6 месяцев с даты публикации (10 декабря 2021 г.). До этого момента действовала версия, вступившая в силу и 6 марта 2018 г.</w:t>
      </w:r>
      <w:r w:rsidR="00AF7A0F" w:rsidRPr="00C95ED2">
        <w:rPr>
          <w:rStyle w:val="a5"/>
          <w:rFonts w:ascii="Times New Roman" w:hAnsi="Times New Roman" w:cs="Times New Roman"/>
          <w:sz w:val="24"/>
          <w:szCs w:val="24"/>
        </w:rPr>
        <w:footnoteReference w:id="10"/>
      </w:r>
      <w:r w:rsidR="00AF7A0F" w:rsidRPr="00C95ED2">
        <w:rPr>
          <w:rFonts w:ascii="Times New Roman" w:hAnsi="Times New Roman" w:cs="Times New Roman"/>
          <w:sz w:val="24"/>
          <w:szCs w:val="24"/>
        </w:rPr>
        <w:t>, то есть перечень не менялся в течение более 3,5 лет. При этом обновление нормативных документов (стандартов) в отрасли обычно осуществляется не реже, чем каждые полгода.</w:t>
      </w:r>
      <w:r w:rsidR="006C18E5" w:rsidRPr="00C95ED2">
        <w:rPr>
          <w:rFonts w:ascii="Times New Roman" w:hAnsi="Times New Roman" w:cs="Times New Roman"/>
          <w:sz w:val="24"/>
          <w:szCs w:val="24"/>
        </w:rPr>
        <w:t xml:space="preserve"> Например</w:t>
      </w:r>
      <w:r w:rsidR="00287EE5" w:rsidRPr="00C95ED2">
        <w:rPr>
          <w:rFonts w:ascii="Times New Roman" w:hAnsi="Times New Roman" w:cs="Times New Roman"/>
          <w:sz w:val="24"/>
          <w:szCs w:val="24"/>
        </w:rPr>
        <w:t>,</w:t>
      </w:r>
      <w:r w:rsidR="006C18E5" w:rsidRPr="00C95ED2">
        <w:rPr>
          <w:rFonts w:ascii="Times New Roman" w:hAnsi="Times New Roman" w:cs="Times New Roman"/>
          <w:sz w:val="24"/>
          <w:szCs w:val="24"/>
        </w:rPr>
        <w:t xml:space="preserve"> редакция </w:t>
      </w:r>
      <w:r w:rsidR="00287EE5" w:rsidRPr="00C95ED2">
        <w:rPr>
          <w:rFonts w:ascii="Times New Roman" w:hAnsi="Times New Roman" w:cs="Times New Roman"/>
          <w:sz w:val="24"/>
          <w:szCs w:val="24"/>
        </w:rPr>
        <w:t>п</w:t>
      </w:r>
      <w:r w:rsidR="006C18E5" w:rsidRPr="00C95ED2">
        <w:rPr>
          <w:rFonts w:ascii="Times New Roman" w:hAnsi="Times New Roman" w:cs="Times New Roman"/>
          <w:sz w:val="24"/>
          <w:szCs w:val="24"/>
        </w:rPr>
        <w:t xml:space="preserve">еречня, опубликованная 10 июня 2021 года и действующая в данный момент, </w:t>
      </w:r>
      <w:r w:rsidR="00287EE5" w:rsidRPr="00C95ED2">
        <w:rPr>
          <w:rFonts w:ascii="Times New Roman" w:hAnsi="Times New Roman" w:cs="Times New Roman"/>
          <w:sz w:val="24"/>
          <w:szCs w:val="24"/>
        </w:rPr>
        <w:t>содержит ГОСТ 10993-1-2011 «Изделия медицинские. Оценка биологического действия медицинских изделий. Часть 1. Оценка и исследования», утративший силу 01.03.2022 г. При этом актуальная версия данного стандарта ГОСТ ISO 10993-1-2021 «Изделия медицинские. Оценка биологического действия медицинских изделий. Часть 1. Оценка и исследования в процессе менеджмента риска» отсутствует в перечне. Вместе с тем, данный стандарт является основополагающим при проведении исследований с целью оценки биологического действия медицинского изделия (токсикологических исследований).</w:t>
      </w:r>
      <w:r w:rsidR="00163605" w:rsidRPr="00C95ED2">
        <w:rPr>
          <w:rFonts w:ascii="Times New Roman" w:hAnsi="Times New Roman" w:cs="Times New Roman"/>
          <w:sz w:val="24"/>
          <w:szCs w:val="24"/>
        </w:rPr>
        <w:t>10</w:t>
      </w:r>
      <w:r w:rsidR="00AF7A0F" w:rsidRPr="00C95ED2">
        <w:rPr>
          <w:rFonts w:ascii="Times New Roman" w:hAnsi="Times New Roman" w:cs="Times New Roman"/>
          <w:sz w:val="24"/>
          <w:szCs w:val="24"/>
        </w:rPr>
        <w:t xml:space="preserve">. </w:t>
      </w:r>
      <w:r w:rsidR="00926C1E" w:rsidRPr="00C95ED2">
        <w:rPr>
          <w:rFonts w:ascii="Times New Roman" w:hAnsi="Times New Roman" w:cs="Times New Roman"/>
          <w:sz w:val="24"/>
          <w:szCs w:val="24"/>
        </w:rPr>
        <w:t>Согласно Решению Совета ЕЭК от 12.02.2016 №29 «О Правилах проведения клинических и клинико-лабораторных испытаний (исследований) медицинских изделий»</w:t>
      </w:r>
      <w:r w:rsidR="007C78E4" w:rsidRPr="00C95ED2">
        <w:rPr>
          <w:rFonts w:ascii="Times New Roman" w:hAnsi="Times New Roman" w:cs="Times New Roman"/>
          <w:sz w:val="24"/>
          <w:szCs w:val="24"/>
        </w:rPr>
        <w:t xml:space="preserve"> (п. 39):</w:t>
      </w:r>
    </w:p>
    <w:p w14:paraId="2B70A934" w14:textId="77777777" w:rsidR="007C78E4" w:rsidRPr="00C95ED2" w:rsidRDefault="007C78E4" w:rsidP="003A2E2C">
      <w:pPr>
        <w:jc w:val="both"/>
        <w:rPr>
          <w:rFonts w:ascii="Times New Roman" w:hAnsi="Times New Roman" w:cs="Times New Roman"/>
          <w:i/>
          <w:sz w:val="24"/>
          <w:szCs w:val="24"/>
        </w:rPr>
      </w:pPr>
      <w:r w:rsidRPr="00C95ED2">
        <w:rPr>
          <w:rFonts w:ascii="Times New Roman" w:hAnsi="Times New Roman" w:cs="Times New Roman"/>
          <w:i/>
          <w:sz w:val="24"/>
          <w:szCs w:val="24"/>
        </w:rPr>
        <w:lastRenderedPageBreak/>
        <w:t xml:space="preserve">«Проведение </w:t>
      </w:r>
      <w:r w:rsidRPr="00C95ED2">
        <w:rPr>
          <w:rFonts w:ascii="Times New Roman" w:hAnsi="Times New Roman" w:cs="Times New Roman"/>
          <w:b/>
          <w:i/>
          <w:sz w:val="24"/>
          <w:szCs w:val="24"/>
        </w:rPr>
        <w:t>клинического испытания</w:t>
      </w:r>
      <w:r w:rsidRPr="00C95ED2">
        <w:rPr>
          <w:rFonts w:ascii="Times New Roman" w:hAnsi="Times New Roman" w:cs="Times New Roman"/>
          <w:i/>
          <w:sz w:val="24"/>
          <w:szCs w:val="24"/>
        </w:rPr>
        <w:t xml:space="preserve"> (исследования) медицинского изделия класса потенциального риска применения 3 или </w:t>
      </w:r>
      <w:r w:rsidRPr="00C95ED2">
        <w:rPr>
          <w:rFonts w:ascii="Times New Roman" w:hAnsi="Times New Roman" w:cs="Times New Roman"/>
          <w:b/>
          <w:i/>
          <w:sz w:val="24"/>
          <w:szCs w:val="24"/>
        </w:rPr>
        <w:t>2б</w:t>
      </w:r>
      <w:r w:rsidRPr="00C95ED2">
        <w:rPr>
          <w:rFonts w:ascii="Times New Roman" w:hAnsi="Times New Roman" w:cs="Times New Roman"/>
          <w:i/>
          <w:sz w:val="24"/>
          <w:szCs w:val="24"/>
        </w:rPr>
        <w:t xml:space="preserve">, а также имплантируемого медицинского изделия </w:t>
      </w:r>
      <w:r w:rsidRPr="00C95ED2">
        <w:rPr>
          <w:rFonts w:ascii="Times New Roman" w:hAnsi="Times New Roman" w:cs="Times New Roman"/>
          <w:b/>
          <w:i/>
          <w:sz w:val="24"/>
          <w:szCs w:val="24"/>
        </w:rPr>
        <w:t>осуществляется в обязательном порядке</w:t>
      </w:r>
      <w:r w:rsidRPr="00C95ED2">
        <w:rPr>
          <w:rFonts w:ascii="Times New Roman" w:hAnsi="Times New Roman" w:cs="Times New Roman"/>
          <w:i/>
          <w:sz w:val="24"/>
          <w:szCs w:val="24"/>
        </w:rPr>
        <w:t xml:space="preserve"> в форме многоцентровых испытаний (исследований), в том числе в одном из государств-членов.»</w:t>
      </w:r>
    </w:p>
    <w:p w14:paraId="1C17EB3D" w14:textId="77777777" w:rsidR="007C78E4" w:rsidRPr="00C95ED2" w:rsidRDefault="007C78E4" w:rsidP="007C78E4">
      <w:pPr>
        <w:jc w:val="both"/>
        <w:rPr>
          <w:rFonts w:ascii="Times New Roman" w:hAnsi="Times New Roman" w:cs="Times New Roman"/>
          <w:i/>
          <w:sz w:val="24"/>
          <w:szCs w:val="24"/>
        </w:rPr>
      </w:pPr>
      <w:r w:rsidRPr="00C95ED2">
        <w:rPr>
          <w:rFonts w:ascii="Times New Roman" w:hAnsi="Times New Roman" w:cs="Times New Roman"/>
          <w:sz w:val="24"/>
          <w:szCs w:val="24"/>
        </w:rPr>
        <w:t>Согласно Решению Совета ЕЭК от 12.02.2016 №29 «О Правилах проведения клинических и клинико-лабораторных испытаний (исследований) медицинских изделий»</w:t>
      </w:r>
    </w:p>
    <w:p w14:paraId="5CA8313D" w14:textId="77777777" w:rsidR="003A2E2C" w:rsidRPr="00C95ED2" w:rsidRDefault="007C78E4" w:rsidP="00817BE8">
      <w:pPr>
        <w:jc w:val="both"/>
        <w:rPr>
          <w:rFonts w:ascii="Times New Roman" w:hAnsi="Times New Roman" w:cs="Times New Roman"/>
          <w:i/>
          <w:sz w:val="24"/>
          <w:szCs w:val="24"/>
        </w:rPr>
      </w:pPr>
      <w:r w:rsidRPr="00C95ED2">
        <w:rPr>
          <w:rFonts w:ascii="Times New Roman" w:hAnsi="Times New Roman" w:cs="Times New Roman"/>
          <w:i/>
          <w:sz w:val="24"/>
          <w:szCs w:val="24"/>
        </w:rPr>
        <w:t xml:space="preserve">«"клинические испытания (исследования) медицинского изделия" - любое испытание (исследование) </w:t>
      </w:r>
      <w:r w:rsidRPr="00C95ED2">
        <w:rPr>
          <w:rFonts w:ascii="Times New Roman" w:hAnsi="Times New Roman" w:cs="Times New Roman"/>
          <w:b/>
          <w:i/>
          <w:sz w:val="24"/>
          <w:szCs w:val="24"/>
        </w:rPr>
        <w:t>с участием человека</w:t>
      </w:r>
      <w:r w:rsidRPr="00C95ED2">
        <w:rPr>
          <w:rFonts w:ascii="Times New Roman" w:hAnsi="Times New Roman" w:cs="Times New Roman"/>
          <w:i/>
          <w:sz w:val="24"/>
          <w:szCs w:val="24"/>
        </w:rPr>
        <w:t xml:space="preserve"> в качестве субъекта испытания (исследования), проводимое с целью изучения безопасности и (или) эффективности испытуемого (исследуемого) медицинского изделия и (или) метода диагностики или лечения, связанного с его применением;»</w:t>
      </w:r>
    </w:p>
    <w:p w14:paraId="3B75E633" w14:textId="77777777" w:rsidR="007C78E4" w:rsidRPr="00C95ED2" w:rsidRDefault="007C78E4" w:rsidP="00817BE8">
      <w:pPr>
        <w:jc w:val="both"/>
        <w:rPr>
          <w:rFonts w:ascii="Times New Roman" w:hAnsi="Times New Roman" w:cs="Times New Roman"/>
          <w:sz w:val="24"/>
          <w:szCs w:val="24"/>
        </w:rPr>
      </w:pPr>
      <w:r w:rsidRPr="00C95ED2">
        <w:rPr>
          <w:rFonts w:ascii="Times New Roman" w:hAnsi="Times New Roman" w:cs="Times New Roman"/>
          <w:sz w:val="24"/>
          <w:szCs w:val="24"/>
        </w:rPr>
        <w:t>То есть доказательство клинической эффективности любых медицинских изделий классов</w:t>
      </w:r>
      <w:r w:rsidR="009A100A" w:rsidRPr="00C95ED2">
        <w:rPr>
          <w:rFonts w:ascii="Times New Roman" w:hAnsi="Times New Roman" w:cs="Times New Roman"/>
          <w:sz w:val="24"/>
          <w:szCs w:val="24"/>
        </w:rPr>
        <w:t xml:space="preserve"> потенциального</w:t>
      </w:r>
      <w:r w:rsidRPr="00C95ED2">
        <w:rPr>
          <w:rFonts w:ascii="Times New Roman" w:hAnsi="Times New Roman" w:cs="Times New Roman"/>
          <w:sz w:val="24"/>
          <w:szCs w:val="24"/>
        </w:rPr>
        <w:t xml:space="preserve"> риска </w:t>
      </w:r>
      <w:r w:rsidR="009A100A" w:rsidRPr="00C95ED2">
        <w:rPr>
          <w:rFonts w:ascii="Times New Roman" w:hAnsi="Times New Roman" w:cs="Times New Roman"/>
          <w:sz w:val="24"/>
          <w:szCs w:val="24"/>
        </w:rPr>
        <w:t xml:space="preserve">применения </w:t>
      </w:r>
      <w:r w:rsidRPr="00C95ED2">
        <w:rPr>
          <w:rFonts w:ascii="Times New Roman" w:hAnsi="Times New Roman" w:cs="Times New Roman"/>
          <w:sz w:val="24"/>
          <w:szCs w:val="24"/>
        </w:rPr>
        <w:t xml:space="preserve">2б и 3, а также всех имплантируемых медицинских изделий, в процедуре ЕАЭС обязательно осуществляется с участием человека в качестве субъекта. В национальной процедуре РФ </w:t>
      </w:r>
      <w:r w:rsidR="009A100A" w:rsidRPr="00C95ED2">
        <w:rPr>
          <w:rFonts w:ascii="Times New Roman" w:hAnsi="Times New Roman" w:cs="Times New Roman"/>
          <w:sz w:val="24"/>
          <w:szCs w:val="24"/>
        </w:rPr>
        <w:t>данное требование не зависит от класса потенциального риска применения медицинского изделия, и осуществляется только и исключительно в следующих случаях:</w:t>
      </w:r>
    </w:p>
    <w:p w14:paraId="350D01BA" w14:textId="77777777" w:rsidR="009A100A" w:rsidRPr="00C95ED2" w:rsidRDefault="009A100A" w:rsidP="009A100A">
      <w:pPr>
        <w:jc w:val="both"/>
        <w:rPr>
          <w:rFonts w:ascii="Times New Roman" w:hAnsi="Times New Roman" w:cs="Times New Roman"/>
          <w:i/>
          <w:sz w:val="24"/>
          <w:szCs w:val="24"/>
        </w:rPr>
      </w:pPr>
      <w:r w:rsidRPr="00C95ED2">
        <w:rPr>
          <w:rFonts w:ascii="Times New Roman" w:hAnsi="Times New Roman" w:cs="Times New Roman"/>
          <w:i/>
          <w:sz w:val="24"/>
          <w:szCs w:val="24"/>
        </w:rPr>
        <w:t>«а) новый вид медицинского изделия;</w:t>
      </w:r>
    </w:p>
    <w:p w14:paraId="4F08162F" w14:textId="77777777" w:rsidR="009A100A" w:rsidRPr="00C95ED2" w:rsidRDefault="009A100A" w:rsidP="009A100A">
      <w:pPr>
        <w:jc w:val="both"/>
        <w:rPr>
          <w:rFonts w:ascii="Times New Roman" w:hAnsi="Times New Roman" w:cs="Times New Roman"/>
          <w:i/>
          <w:sz w:val="24"/>
          <w:szCs w:val="24"/>
        </w:rPr>
      </w:pPr>
      <w:r w:rsidRPr="00C95ED2">
        <w:rPr>
          <w:rFonts w:ascii="Times New Roman" w:hAnsi="Times New Roman" w:cs="Times New Roman"/>
          <w:i/>
          <w:sz w:val="24"/>
          <w:szCs w:val="24"/>
        </w:rPr>
        <w:t>б) применение новых сложных и (или) уникальных и (или) специальных методов профилактики, диагностики и лечения заболеваний и состояний, а также применение новых сложных медицинских технологий;</w:t>
      </w:r>
    </w:p>
    <w:p w14:paraId="0447EC35" w14:textId="77777777" w:rsidR="009A100A" w:rsidRPr="00C95ED2" w:rsidRDefault="009A100A" w:rsidP="009A100A">
      <w:pPr>
        <w:jc w:val="both"/>
        <w:rPr>
          <w:rFonts w:ascii="Times New Roman" w:hAnsi="Times New Roman" w:cs="Times New Roman"/>
          <w:i/>
          <w:sz w:val="24"/>
          <w:szCs w:val="24"/>
        </w:rPr>
      </w:pPr>
      <w:r w:rsidRPr="00C95ED2">
        <w:rPr>
          <w:rFonts w:ascii="Times New Roman" w:hAnsi="Times New Roman" w:cs="Times New Roman"/>
          <w:i/>
          <w:sz w:val="24"/>
          <w:szCs w:val="24"/>
        </w:rPr>
        <w:t>в) если при проведении анализа и оценки клинических данных не подтверждены эффективность и безопасность медицинского изделия;</w:t>
      </w:r>
    </w:p>
    <w:p w14:paraId="563D6CA4" w14:textId="77777777" w:rsidR="009A100A" w:rsidRPr="00C95ED2" w:rsidRDefault="009A100A" w:rsidP="009A100A">
      <w:pPr>
        <w:jc w:val="both"/>
        <w:rPr>
          <w:rFonts w:ascii="Times New Roman" w:hAnsi="Times New Roman" w:cs="Times New Roman"/>
          <w:i/>
          <w:sz w:val="24"/>
          <w:szCs w:val="24"/>
        </w:rPr>
      </w:pPr>
      <w:r w:rsidRPr="00C95ED2">
        <w:rPr>
          <w:rFonts w:ascii="Times New Roman" w:hAnsi="Times New Roman" w:cs="Times New Roman"/>
          <w:i/>
          <w:sz w:val="24"/>
          <w:szCs w:val="24"/>
        </w:rPr>
        <w:t>г) для медицинских изделий, содержащих новые, контактирующие с организмом человека, ранее не изученные в части биологического действия материалы или известные материалы, контактирующие с теми органами или тканями человека, в отношении которых отсутствует опыт их медицинского применения, или в случае, если такой контакт является более продолжительным, чем ранее изученный.»</w:t>
      </w:r>
      <w:r w:rsidRPr="00C95ED2">
        <w:rPr>
          <w:rStyle w:val="a5"/>
          <w:rFonts w:ascii="Times New Roman" w:hAnsi="Times New Roman" w:cs="Times New Roman"/>
          <w:i/>
          <w:sz w:val="24"/>
          <w:szCs w:val="24"/>
        </w:rPr>
        <w:footnoteReference w:id="11"/>
      </w:r>
    </w:p>
    <w:p w14:paraId="0D7DC30C" w14:textId="77777777" w:rsidR="009A100A" w:rsidRPr="00C95ED2" w:rsidRDefault="009A100A" w:rsidP="009A100A">
      <w:pPr>
        <w:jc w:val="both"/>
        <w:rPr>
          <w:rFonts w:ascii="Times New Roman" w:hAnsi="Times New Roman" w:cs="Times New Roman"/>
          <w:sz w:val="24"/>
          <w:szCs w:val="24"/>
        </w:rPr>
      </w:pPr>
      <w:r w:rsidRPr="00C95ED2">
        <w:rPr>
          <w:rFonts w:ascii="Times New Roman" w:hAnsi="Times New Roman" w:cs="Times New Roman"/>
          <w:sz w:val="24"/>
          <w:szCs w:val="24"/>
        </w:rPr>
        <w:t>В остальных случаях в национальной процедуре РФ клинические испытания осуществляются в форме оценки и анализа клинических данных. Мы считаем данный подход наиболее взвешенным и эффективным, поскольку клинические испытания с участием человека требуют особых условий страхования, не полностью проработанных в Российской Федерации, привлечения большого количества участников, создают дополнительную нагрузку на медицинские организации и, самое главное, не являются целесообразными в отношении медицинских изделий, аналоги которых давно присутствуют на рынке и хорошо изучены, вне зависимости от их класса потенциального риска применения.</w:t>
      </w:r>
    </w:p>
    <w:p w14:paraId="2CB05351" w14:textId="77777777" w:rsidR="009A100A" w:rsidRPr="00C95ED2" w:rsidRDefault="00D92056" w:rsidP="009A100A">
      <w:pPr>
        <w:jc w:val="both"/>
        <w:rPr>
          <w:rFonts w:ascii="Times New Roman" w:hAnsi="Times New Roman" w:cs="Times New Roman"/>
          <w:sz w:val="24"/>
          <w:szCs w:val="24"/>
        </w:rPr>
      </w:pPr>
      <w:r w:rsidRPr="00C95ED2">
        <w:rPr>
          <w:rFonts w:ascii="Times New Roman" w:hAnsi="Times New Roman" w:cs="Times New Roman"/>
          <w:sz w:val="24"/>
          <w:szCs w:val="24"/>
        </w:rPr>
        <w:t xml:space="preserve">При проведении клинических испытаний с участием человека производители будут нести затраты от 1 до 10 миллионов рублей, время на регистрацию увеличится не менее, чем на 6 </w:t>
      </w:r>
      <w:r w:rsidRPr="00C95ED2">
        <w:rPr>
          <w:rFonts w:ascii="Times New Roman" w:hAnsi="Times New Roman" w:cs="Times New Roman"/>
          <w:sz w:val="24"/>
          <w:szCs w:val="24"/>
        </w:rPr>
        <w:lastRenderedPageBreak/>
        <w:t xml:space="preserve">месяцев (а в большинстве случаев, на 1 год и более), </w:t>
      </w:r>
      <w:r w:rsidRPr="00C95ED2">
        <w:rPr>
          <w:rFonts w:ascii="Times New Roman" w:hAnsi="Times New Roman" w:cs="Times New Roman"/>
          <w:b/>
          <w:sz w:val="24"/>
          <w:szCs w:val="24"/>
        </w:rPr>
        <w:t>и эти издержки неизбежно отразятся на стоимости и доступности медицинских изделий.</w:t>
      </w:r>
    </w:p>
    <w:p w14:paraId="0379077F" w14:textId="77777777" w:rsidR="00D92056" w:rsidRPr="00C95ED2" w:rsidRDefault="00D92056" w:rsidP="009A100A">
      <w:pPr>
        <w:jc w:val="both"/>
        <w:rPr>
          <w:rFonts w:ascii="Times New Roman" w:hAnsi="Times New Roman" w:cs="Times New Roman"/>
          <w:sz w:val="24"/>
          <w:szCs w:val="24"/>
        </w:rPr>
      </w:pPr>
      <w:r w:rsidRPr="00C95ED2">
        <w:rPr>
          <w:rFonts w:ascii="Times New Roman" w:hAnsi="Times New Roman" w:cs="Times New Roman"/>
          <w:sz w:val="24"/>
          <w:szCs w:val="24"/>
        </w:rPr>
        <w:t xml:space="preserve">Дополнительно хотим обратить внимание, что к медицинским изделиям класса потенциального риска применения 2б относятся, в том числе, специфические изделия, клинические испытания которых с участием человека крайне затруднительно проводить в условиях медицинских организаций: </w:t>
      </w:r>
    </w:p>
    <w:p w14:paraId="55214809" w14:textId="77777777" w:rsidR="00D92056" w:rsidRPr="00C95ED2" w:rsidRDefault="00D92056" w:rsidP="00D92056">
      <w:pPr>
        <w:pStyle w:val="af3"/>
        <w:numPr>
          <w:ilvl w:val="0"/>
          <w:numId w:val="1"/>
        </w:numPr>
        <w:jc w:val="both"/>
        <w:rPr>
          <w:rFonts w:ascii="Times New Roman" w:hAnsi="Times New Roman" w:cs="Times New Roman"/>
          <w:sz w:val="24"/>
          <w:szCs w:val="24"/>
        </w:rPr>
      </w:pPr>
      <w:r w:rsidRPr="00C95ED2">
        <w:rPr>
          <w:rFonts w:ascii="Times New Roman" w:hAnsi="Times New Roman" w:cs="Times New Roman"/>
          <w:sz w:val="24"/>
          <w:szCs w:val="24"/>
        </w:rPr>
        <w:t>презервативы мужские (не предназначены для использования в условиях медицинских организаций; клинические испытания данного вида медицинских изделий с участием человека не проводятся ни в одной стране мира; наработанные методики проведения клинических испытаний с участием человека отсутствуют)</w:t>
      </w:r>
    </w:p>
    <w:p w14:paraId="78D5643F" w14:textId="77777777" w:rsidR="00D92056" w:rsidRPr="00C95ED2" w:rsidRDefault="00D92056" w:rsidP="00D92056">
      <w:pPr>
        <w:pStyle w:val="af3"/>
        <w:numPr>
          <w:ilvl w:val="0"/>
          <w:numId w:val="1"/>
        </w:numPr>
        <w:jc w:val="both"/>
        <w:rPr>
          <w:rFonts w:ascii="Times New Roman" w:hAnsi="Times New Roman" w:cs="Times New Roman"/>
          <w:sz w:val="24"/>
          <w:szCs w:val="24"/>
        </w:rPr>
      </w:pPr>
      <w:r w:rsidRPr="00C95ED2">
        <w:rPr>
          <w:rFonts w:ascii="Times New Roman" w:hAnsi="Times New Roman" w:cs="Times New Roman"/>
          <w:sz w:val="24"/>
          <w:szCs w:val="24"/>
        </w:rPr>
        <w:t>аппараты искусственной вентиляции легких (используются, в основном, в условиях реанимационных отделений, в условиях, когда брать у пациента информированное согласие, нецелесообразно и неэтично)</w:t>
      </w:r>
    </w:p>
    <w:p w14:paraId="2D73C311" w14:textId="77777777" w:rsidR="00D92056" w:rsidRPr="00C95ED2" w:rsidRDefault="00D92056" w:rsidP="00D92056">
      <w:pPr>
        <w:pStyle w:val="af3"/>
        <w:numPr>
          <w:ilvl w:val="0"/>
          <w:numId w:val="1"/>
        </w:numPr>
        <w:jc w:val="both"/>
        <w:rPr>
          <w:rFonts w:ascii="Times New Roman" w:hAnsi="Times New Roman" w:cs="Times New Roman"/>
          <w:sz w:val="24"/>
          <w:szCs w:val="24"/>
        </w:rPr>
      </w:pPr>
      <w:r w:rsidRPr="00C95ED2">
        <w:rPr>
          <w:rFonts w:ascii="Times New Roman" w:hAnsi="Times New Roman" w:cs="Times New Roman"/>
          <w:sz w:val="24"/>
          <w:szCs w:val="24"/>
        </w:rPr>
        <w:t>средства для очистки контактных линз (клинические испытания данного вида медицинских изделий с участием человека не проводятся ни в одной стране мира; наработанные методики проведения клинических испытаний с участием человека отсутствуют)</w:t>
      </w:r>
    </w:p>
    <w:p w14:paraId="4D0F3885" w14:textId="77777777" w:rsidR="00D92056" w:rsidRPr="00C95ED2" w:rsidRDefault="00D92056" w:rsidP="00D92056">
      <w:pPr>
        <w:jc w:val="both"/>
        <w:rPr>
          <w:rFonts w:ascii="Times New Roman" w:hAnsi="Times New Roman" w:cs="Times New Roman"/>
          <w:sz w:val="24"/>
          <w:szCs w:val="24"/>
        </w:rPr>
      </w:pPr>
      <w:r w:rsidRPr="00C95ED2">
        <w:rPr>
          <w:rFonts w:ascii="Times New Roman" w:hAnsi="Times New Roman" w:cs="Times New Roman"/>
          <w:sz w:val="24"/>
          <w:szCs w:val="24"/>
        </w:rPr>
        <w:t>И др.</w:t>
      </w:r>
    </w:p>
    <w:p w14:paraId="5BF81BE2" w14:textId="77777777" w:rsidR="003E4DB1" w:rsidRPr="00C95ED2" w:rsidRDefault="003E4DB1" w:rsidP="009D7A8F">
      <w:pPr>
        <w:jc w:val="both"/>
        <w:rPr>
          <w:rFonts w:ascii="Times New Roman" w:hAnsi="Times New Roman" w:cs="Times New Roman"/>
          <w:sz w:val="24"/>
          <w:szCs w:val="24"/>
        </w:rPr>
      </w:pPr>
      <w:r w:rsidRPr="00C95ED2">
        <w:rPr>
          <w:rFonts w:ascii="Times New Roman" w:hAnsi="Times New Roman" w:cs="Times New Roman"/>
          <w:sz w:val="24"/>
          <w:szCs w:val="24"/>
        </w:rPr>
        <w:t>1</w:t>
      </w:r>
      <w:r w:rsidR="005722F9" w:rsidRPr="00C95ED2">
        <w:rPr>
          <w:rFonts w:ascii="Times New Roman" w:hAnsi="Times New Roman" w:cs="Times New Roman"/>
          <w:sz w:val="24"/>
          <w:szCs w:val="24"/>
        </w:rPr>
        <w:t>1</w:t>
      </w:r>
      <w:r w:rsidRPr="00C95ED2">
        <w:rPr>
          <w:rFonts w:ascii="Times New Roman" w:hAnsi="Times New Roman" w:cs="Times New Roman"/>
          <w:sz w:val="24"/>
          <w:szCs w:val="24"/>
        </w:rPr>
        <w:t xml:space="preserve">. </w:t>
      </w:r>
      <w:r w:rsidR="009D7A8F" w:rsidRPr="00C95ED2">
        <w:rPr>
          <w:rFonts w:ascii="Times New Roman" w:hAnsi="Times New Roman" w:cs="Times New Roman"/>
          <w:sz w:val="24"/>
          <w:szCs w:val="24"/>
        </w:rPr>
        <w:t>Процедурой ЕАЭС для стерильных медицинских изделий класса потенциального риска применения 2а и всех медицинских изделий классов потенциального риска применения 2б и 3 предусмотрена обязательность оценки системы менеджмента качества медицинских изделий в форме инспектирования производства</w:t>
      </w:r>
      <w:r w:rsidR="009D7A8F" w:rsidRPr="00C95ED2">
        <w:rPr>
          <w:rStyle w:val="a5"/>
          <w:rFonts w:ascii="Times New Roman" w:hAnsi="Times New Roman" w:cs="Times New Roman"/>
          <w:sz w:val="24"/>
          <w:szCs w:val="24"/>
        </w:rPr>
        <w:footnoteReference w:id="12"/>
      </w:r>
      <w:r w:rsidR="009D7A8F" w:rsidRPr="00C95ED2">
        <w:rPr>
          <w:rFonts w:ascii="Times New Roman" w:hAnsi="Times New Roman" w:cs="Times New Roman"/>
          <w:sz w:val="24"/>
          <w:szCs w:val="24"/>
        </w:rPr>
        <w:t>. При этом, согласно Приложению 1 Решения Совета ЕЭК от 10.11.2017 №106 «О Требованиях к внедрению, поддержанию и оценке системы менеджмента качества медицинских изделий в зависимости от потенциального риска их применения», нормативная продолжительность данного инспектирования может составлять от 6 до 13 человеко-дней для каждой производственной площадки.</w:t>
      </w:r>
    </w:p>
    <w:p w14:paraId="58529793" w14:textId="77777777" w:rsidR="009D7A8F" w:rsidRPr="00C95ED2" w:rsidRDefault="009D7A8F" w:rsidP="009D7A8F">
      <w:pPr>
        <w:jc w:val="both"/>
        <w:rPr>
          <w:rFonts w:ascii="Times New Roman" w:hAnsi="Times New Roman" w:cs="Times New Roman"/>
          <w:sz w:val="24"/>
          <w:szCs w:val="24"/>
        </w:rPr>
      </w:pPr>
      <w:r w:rsidRPr="00C95ED2">
        <w:rPr>
          <w:rFonts w:ascii="Times New Roman" w:hAnsi="Times New Roman" w:cs="Times New Roman"/>
          <w:sz w:val="24"/>
          <w:szCs w:val="24"/>
        </w:rPr>
        <w:t xml:space="preserve">На момент составления настоящего обращения </w:t>
      </w:r>
      <w:r w:rsidR="00E8622E" w:rsidRPr="00C95ED2">
        <w:rPr>
          <w:rFonts w:ascii="Times New Roman" w:hAnsi="Times New Roman" w:cs="Times New Roman"/>
          <w:sz w:val="24"/>
          <w:szCs w:val="24"/>
        </w:rPr>
        <w:t>лишь две организации на территории РФ имеют право проведения инспектирования производства. При этом в национальной процедуре РФ за 2021 год было зарегистрировано более 650 медицинских изделий класса потенциального риска применения 2б и более 400 медицинских изделий класса потенциального риска применения 3</w:t>
      </w:r>
      <w:r w:rsidR="00E8622E" w:rsidRPr="00C95ED2">
        <w:rPr>
          <w:rStyle w:val="a5"/>
          <w:rFonts w:ascii="Times New Roman" w:hAnsi="Times New Roman" w:cs="Times New Roman"/>
          <w:sz w:val="24"/>
          <w:szCs w:val="24"/>
        </w:rPr>
        <w:footnoteReference w:id="13"/>
      </w:r>
      <w:r w:rsidR="00E8622E" w:rsidRPr="00C95ED2">
        <w:rPr>
          <w:rFonts w:ascii="Times New Roman" w:hAnsi="Times New Roman" w:cs="Times New Roman"/>
          <w:sz w:val="24"/>
          <w:szCs w:val="24"/>
        </w:rPr>
        <w:t>.</w:t>
      </w:r>
    </w:p>
    <w:p w14:paraId="738DC082" w14:textId="77777777" w:rsidR="00E8622E" w:rsidRPr="00C95ED2" w:rsidRDefault="00E8622E" w:rsidP="009D7A8F">
      <w:pPr>
        <w:jc w:val="both"/>
        <w:rPr>
          <w:rFonts w:ascii="Times New Roman" w:hAnsi="Times New Roman" w:cs="Times New Roman"/>
          <w:sz w:val="24"/>
          <w:szCs w:val="24"/>
        </w:rPr>
      </w:pPr>
      <w:r w:rsidRPr="00C95ED2">
        <w:rPr>
          <w:rFonts w:ascii="Times New Roman" w:hAnsi="Times New Roman" w:cs="Times New Roman"/>
          <w:sz w:val="24"/>
          <w:szCs w:val="24"/>
        </w:rPr>
        <w:t xml:space="preserve">Если предположить, что количество медицинских изделий, регистрируемых по процедуре ЕАЭС будет идентичным, и допустить, что инспектирование будет проходить только на одной производственной площадке, средняя нагрузка на инспектирующие организации будет составлять 9975 человеко-дней в год без учета дороги инспектора до производственной площадки. Реальная же ситуация намного </w:t>
      </w:r>
      <w:r w:rsidR="00B7259E" w:rsidRPr="00C95ED2">
        <w:rPr>
          <w:rFonts w:ascii="Times New Roman" w:hAnsi="Times New Roman" w:cs="Times New Roman"/>
          <w:sz w:val="24"/>
          <w:szCs w:val="24"/>
        </w:rPr>
        <w:t>серьезнее, поскольку у многих медицинских изделий имеется более 2 производственных площадок</w:t>
      </w:r>
      <w:r w:rsidR="002029A6" w:rsidRPr="00C95ED2">
        <w:rPr>
          <w:rFonts w:ascii="Times New Roman" w:hAnsi="Times New Roman" w:cs="Times New Roman"/>
          <w:sz w:val="24"/>
          <w:szCs w:val="24"/>
        </w:rPr>
        <w:t xml:space="preserve">. Также в данном </w:t>
      </w:r>
      <w:r w:rsidR="002029A6" w:rsidRPr="00C95ED2">
        <w:rPr>
          <w:rFonts w:ascii="Times New Roman" w:hAnsi="Times New Roman" w:cs="Times New Roman"/>
          <w:sz w:val="24"/>
          <w:szCs w:val="24"/>
        </w:rPr>
        <w:lastRenderedPageBreak/>
        <w:t>расчете не учтены стерильные медицинские изделия класса потенциального риска применения 2а.</w:t>
      </w:r>
    </w:p>
    <w:p w14:paraId="201F40D3" w14:textId="77777777" w:rsidR="002029A6" w:rsidRPr="00C95ED2" w:rsidRDefault="002029A6" w:rsidP="009D7A8F">
      <w:pPr>
        <w:jc w:val="both"/>
        <w:rPr>
          <w:rFonts w:ascii="Times New Roman" w:hAnsi="Times New Roman" w:cs="Times New Roman"/>
          <w:sz w:val="24"/>
          <w:szCs w:val="24"/>
        </w:rPr>
      </w:pPr>
      <w:r w:rsidRPr="00C95ED2">
        <w:rPr>
          <w:rFonts w:ascii="Times New Roman" w:hAnsi="Times New Roman" w:cs="Times New Roman"/>
          <w:sz w:val="24"/>
          <w:szCs w:val="24"/>
        </w:rPr>
        <w:t>Ввиду вышеизложенного, без увеличения количества инспектирующих организаций, т.е. в имеющейся ситуации, при ожидаемом потоке заявлений на регистрацию по процедуре ЕАЭС, процесс инспектирования производства будет затягиваться еще на несколько месяцев.</w:t>
      </w:r>
      <w:r w:rsidR="00057C9C" w:rsidRPr="00C95ED2">
        <w:rPr>
          <w:rFonts w:ascii="Times New Roman" w:hAnsi="Times New Roman" w:cs="Times New Roman"/>
          <w:sz w:val="24"/>
          <w:szCs w:val="24"/>
        </w:rPr>
        <w:t xml:space="preserve"> Кроме того, в настоящее время имеются сложности со въездом в многие страны ввиду введенных против Российской Федерации мер экономического характера, а также эпидемиологической обстановкой в мире. В некоторых странах</w:t>
      </w:r>
      <w:r w:rsidR="001F19C1" w:rsidRPr="00C95ED2">
        <w:rPr>
          <w:rFonts w:ascii="Times New Roman" w:hAnsi="Times New Roman" w:cs="Times New Roman"/>
          <w:sz w:val="24"/>
          <w:szCs w:val="24"/>
        </w:rPr>
        <w:t xml:space="preserve"> продолжают действовать противоэпидемиологические меры, затрудняющие процесс инспектирования производства</w:t>
      </w:r>
      <w:r w:rsidR="00057C9C" w:rsidRPr="00C95ED2">
        <w:rPr>
          <w:rFonts w:ascii="Times New Roman" w:hAnsi="Times New Roman" w:cs="Times New Roman"/>
          <w:sz w:val="24"/>
          <w:szCs w:val="24"/>
        </w:rPr>
        <w:t xml:space="preserve"> (например, </w:t>
      </w:r>
      <w:r w:rsidR="001F19C1" w:rsidRPr="00C95ED2">
        <w:rPr>
          <w:rFonts w:ascii="Times New Roman" w:hAnsi="Times New Roman" w:cs="Times New Roman"/>
          <w:sz w:val="24"/>
          <w:szCs w:val="24"/>
        </w:rPr>
        <w:t xml:space="preserve">все граждане, въезжающие в </w:t>
      </w:r>
      <w:r w:rsidR="00057C9C" w:rsidRPr="00C95ED2">
        <w:rPr>
          <w:rFonts w:ascii="Times New Roman" w:hAnsi="Times New Roman" w:cs="Times New Roman"/>
          <w:sz w:val="24"/>
          <w:szCs w:val="24"/>
        </w:rPr>
        <w:t>Китайск</w:t>
      </w:r>
      <w:r w:rsidR="001F19C1" w:rsidRPr="00C95ED2">
        <w:rPr>
          <w:rFonts w:ascii="Times New Roman" w:hAnsi="Times New Roman" w:cs="Times New Roman"/>
          <w:sz w:val="24"/>
          <w:szCs w:val="24"/>
        </w:rPr>
        <w:t>ую</w:t>
      </w:r>
      <w:r w:rsidR="00057C9C" w:rsidRPr="00C95ED2">
        <w:rPr>
          <w:rFonts w:ascii="Times New Roman" w:hAnsi="Times New Roman" w:cs="Times New Roman"/>
          <w:sz w:val="24"/>
          <w:szCs w:val="24"/>
        </w:rPr>
        <w:t xml:space="preserve"> Народн</w:t>
      </w:r>
      <w:r w:rsidR="001F19C1" w:rsidRPr="00C95ED2">
        <w:rPr>
          <w:rFonts w:ascii="Times New Roman" w:hAnsi="Times New Roman" w:cs="Times New Roman"/>
          <w:sz w:val="24"/>
          <w:szCs w:val="24"/>
        </w:rPr>
        <w:t>ую</w:t>
      </w:r>
      <w:r w:rsidR="00057C9C" w:rsidRPr="00C95ED2">
        <w:rPr>
          <w:rFonts w:ascii="Times New Roman" w:hAnsi="Times New Roman" w:cs="Times New Roman"/>
          <w:sz w:val="24"/>
          <w:szCs w:val="24"/>
        </w:rPr>
        <w:t xml:space="preserve"> Республик</w:t>
      </w:r>
      <w:r w:rsidR="001F19C1" w:rsidRPr="00C95ED2">
        <w:rPr>
          <w:rFonts w:ascii="Times New Roman" w:hAnsi="Times New Roman" w:cs="Times New Roman"/>
          <w:sz w:val="24"/>
          <w:szCs w:val="24"/>
        </w:rPr>
        <w:t xml:space="preserve">у, независимо от иммунного статуса к </w:t>
      </w:r>
      <w:r w:rsidR="001F19C1" w:rsidRPr="00C95ED2">
        <w:rPr>
          <w:rFonts w:ascii="Times New Roman" w:hAnsi="Times New Roman" w:cs="Times New Roman"/>
          <w:sz w:val="24"/>
          <w:szCs w:val="24"/>
          <w:lang w:val="en-US"/>
        </w:rPr>
        <w:t>COVID</w:t>
      </w:r>
      <w:r w:rsidR="001F19C1" w:rsidRPr="00C95ED2">
        <w:rPr>
          <w:rFonts w:ascii="Times New Roman" w:hAnsi="Times New Roman" w:cs="Times New Roman"/>
          <w:sz w:val="24"/>
          <w:szCs w:val="24"/>
        </w:rPr>
        <w:t>-19 и наличия сертификата о вакцинации, обязаны пройти 14-дневный карантин</w:t>
      </w:r>
      <w:r w:rsidR="00057C9C" w:rsidRPr="00C95ED2">
        <w:rPr>
          <w:rFonts w:ascii="Times New Roman" w:hAnsi="Times New Roman" w:cs="Times New Roman"/>
          <w:sz w:val="24"/>
          <w:szCs w:val="24"/>
        </w:rPr>
        <w:t>)</w:t>
      </w:r>
      <w:r w:rsidR="001F19C1" w:rsidRPr="00C95ED2">
        <w:rPr>
          <w:rFonts w:ascii="Times New Roman" w:hAnsi="Times New Roman" w:cs="Times New Roman"/>
          <w:sz w:val="24"/>
          <w:szCs w:val="24"/>
        </w:rPr>
        <w:t>.</w:t>
      </w:r>
      <w:r w:rsidR="00057C9C" w:rsidRPr="00C95ED2">
        <w:rPr>
          <w:rFonts w:ascii="Times New Roman" w:hAnsi="Times New Roman" w:cs="Times New Roman"/>
          <w:sz w:val="24"/>
          <w:szCs w:val="24"/>
        </w:rPr>
        <w:t xml:space="preserve">  </w:t>
      </w:r>
      <w:r w:rsidR="00B84DC9" w:rsidRPr="00C95ED2">
        <w:rPr>
          <w:rFonts w:ascii="Times New Roman" w:hAnsi="Times New Roman" w:cs="Times New Roman"/>
          <w:sz w:val="24"/>
          <w:szCs w:val="24"/>
        </w:rPr>
        <w:t xml:space="preserve">Частично данный вопрос решается возможностью проведения инспектирования производства в дистанционном формате, однако, на данный момент </w:t>
      </w:r>
      <w:r w:rsidR="00A7520A" w:rsidRPr="00C95ED2">
        <w:rPr>
          <w:rFonts w:ascii="Times New Roman" w:hAnsi="Times New Roman" w:cs="Times New Roman"/>
          <w:sz w:val="24"/>
          <w:szCs w:val="24"/>
        </w:rPr>
        <w:t>отсутствуют зарегистрированные медицинские изделия, прошедшие инспектирование производства в таком формате, что также говорит необходимости доработки данного процесса.</w:t>
      </w:r>
    </w:p>
    <w:p w14:paraId="6A06B365" w14:textId="77777777" w:rsidR="005722F9" w:rsidRPr="00C95ED2" w:rsidRDefault="005722F9" w:rsidP="00817BE8">
      <w:pPr>
        <w:jc w:val="both"/>
        <w:rPr>
          <w:rFonts w:ascii="Times New Roman" w:hAnsi="Times New Roman" w:cs="Times New Roman"/>
          <w:b/>
          <w:sz w:val="24"/>
          <w:szCs w:val="24"/>
        </w:rPr>
      </w:pPr>
      <w:r w:rsidRPr="00C95ED2">
        <w:rPr>
          <w:rFonts w:ascii="Times New Roman" w:hAnsi="Times New Roman" w:cs="Times New Roman"/>
          <w:sz w:val="24"/>
          <w:szCs w:val="24"/>
        </w:rPr>
        <w:tab/>
      </w:r>
      <w:r w:rsidRPr="00C95ED2">
        <w:rPr>
          <w:rFonts w:ascii="Times New Roman" w:hAnsi="Times New Roman" w:cs="Times New Roman"/>
          <w:b/>
          <w:sz w:val="24"/>
          <w:szCs w:val="24"/>
        </w:rPr>
        <w:t>Учитывая вышеизложенные практические сложности, затрудняющие, удлиняющие, а в некоторых случаях и делающие невозможной регистрацию по процедуре ЕАЭС, мы считаем, что отказ от национальной процедуры РФ является преждевременным.</w:t>
      </w:r>
      <w:r w:rsidR="004C175A" w:rsidRPr="00C95ED2">
        <w:rPr>
          <w:rFonts w:ascii="Times New Roman" w:hAnsi="Times New Roman" w:cs="Times New Roman"/>
          <w:b/>
          <w:sz w:val="24"/>
          <w:szCs w:val="24"/>
        </w:rPr>
        <w:t xml:space="preserve"> Более того, создается ситуация, при которой ставится под угрозу качество оказания медицинской помощи в России ввиду возможного отсутствия на рынке новых зарегистрированных медицинских изделий. </w:t>
      </w:r>
    </w:p>
    <w:p w14:paraId="1E1D143E" w14:textId="77777777" w:rsidR="008805CE" w:rsidRPr="00C95ED2" w:rsidRDefault="00817BE8" w:rsidP="005722F9">
      <w:pPr>
        <w:ind w:firstLine="708"/>
        <w:jc w:val="both"/>
        <w:rPr>
          <w:rFonts w:ascii="Times New Roman" w:hAnsi="Times New Roman" w:cs="Times New Roman"/>
          <w:sz w:val="24"/>
          <w:szCs w:val="24"/>
        </w:rPr>
      </w:pPr>
      <w:r w:rsidRPr="00C95ED2">
        <w:rPr>
          <w:rFonts w:ascii="Times New Roman" w:hAnsi="Times New Roman" w:cs="Times New Roman"/>
          <w:sz w:val="24"/>
          <w:szCs w:val="24"/>
        </w:rPr>
        <w:t>На заседании Совета ЕЭК, состоявшемся 24 декабря 2021 года был рассмотрен вопрос</w:t>
      </w:r>
      <w:r w:rsidRPr="00C95ED2">
        <w:rPr>
          <w:rStyle w:val="a5"/>
          <w:rFonts w:ascii="Times New Roman" w:hAnsi="Times New Roman" w:cs="Times New Roman"/>
          <w:sz w:val="24"/>
          <w:szCs w:val="24"/>
        </w:rPr>
        <w:footnoteReference w:id="14"/>
      </w:r>
      <w:r w:rsidRPr="00C95ED2">
        <w:rPr>
          <w:rFonts w:ascii="Times New Roman" w:hAnsi="Times New Roman" w:cs="Times New Roman"/>
          <w:sz w:val="24"/>
          <w:szCs w:val="24"/>
        </w:rPr>
        <w:t xml:space="preserve"> о внесении новых изменений в Соглашение о единых принципах и правилах обращения медицинских изделий (изделий медицинского назначения, медицинской техники) в рамках Евразийского экономического союза, которые касаются продления режима национальной регистрации на один год – до 31 декабря 2022 года. Стороны одобрили направление протокола на внутригосударственные процедуры и подписание. К нашему сожалению, на конец марта 2022 года протокол не был подписан всеми сторонами, и подача </w:t>
      </w:r>
      <w:r w:rsidR="00FE3B87" w:rsidRPr="00C95ED2">
        <w:rPr>
          <w:rFonts w:ascii="Times New Roman" w:hAnsi="Times New Roman" w:cs="Times New Roman"/>
          <w:sz w:val="24"/>
          <w:szCs w:val="24"/>
        </w:rPr>
        <w:t>документов по национальной процедуре Российской Федерации до сих пор невозможна.</w:t>
      </w:r>
      <w:r w:rsidRPr="00C95ED2">
        <w:rPr>
          <w:rFonts w:ascii="Times New Roman" w:hAnsi="Times New Roman" w:cs="Times New Roman"/>
          <w:sz w:val="24"/>
          <w:szCs w:val="24"/>
        </w:rPr>
        <w:t xml:space="preserve"> </w:t>
      </w:r>
    </w:p>
    <w:p w14:paraId="5C9E4D3D" w14:textId="580346E5" w:rsidR="00845B6B" w:rsidRDefault="00BB1F9D" w:rsidP="00845B6B">
      <w:pPr>
        <w:ind w:firstLine="708"/>
        <w:jc w:val="both"/>
        <w:rPr>
          <w:rFonts w:ascii="Times New Roman" w:hAnsi="Times New Roman" w:cs="Times New Roman"/>
          <w:sz w:val="24"/>
          <w:szCs w:val="24"/>
        </w:rPr>
      </w:pPr>
      <w:r w:rsidRPr="00C95ED2">
        <w:rPr>
          <w:rFonts w:ascii="Times New Roman" w:hAnsi="Times New Roman" w:cs="Times New Roman"/>
          <w:sz w:val="24"/>
          <w:szCs w:val="24"/>
        </w:rPr>
        <w:t>Кроме того, в</w:t>
      </w:r>
      <w:r w:rsidR="00845B6B" w:rsidRPr="00C95ED2">
        <w:rPr>
          <w:rFonts w:ascii="Times New Roman" w:hAnsi="Times New Roman" w:cs="Times New Roman"/>
          <w:sz w:val="24"/>
          <w:szCs w:val="24"/>
        </w:rPr>
        <w:t xml:space="preserve"> настоящее время на рассмотрении проходит оценку регулирующего воздействия проект Постановления Правительства РФ «Об утверждении Правил государственной регистрации медицинских изделий» (</w:t>
      </w:r>
      <w:r w:rsidR="00845B6B" w:rsidRPr="00C95ED2">
        <w:rPr>
          <w:rFonts w:ascii="Times New Roman" w:hAnsi="Times New Roman" w:cs="Times New Roman"/>
          <w:sz w:val="24"/>
          <w:szCs w:val="24"/>
          <w:lang w:val="en-US"/>
        </w:rPr>
        <w:t>ID</w:t>
      </w:r>
      <w:r w:rsidR="00845B6B" w:rsidRPr="00C95ED2">
        <w:rPr>
          <w:rFonts w:ascii="Times New Roman" w:hAnsi="Times New Roman" w:cs="Times New Roman"/>
          <w:sz w:val="24"/>
          <w:szCs w:val="24"/>
        </w:rPr>
        <w:t xml:space="preserve"> проекта на Федеральном портале проектов нормативных правовых актов 02/07/02-22/00124887</w:t>
      </w:r>
      <w:r w:rsidR="00845B6B" w:rsidRPr="00C95ED2">
        <w:rPr>
          <w:sz w:val="24"/>
          <w:szCs w:val="24"/>
        </w:rPr>
        <w:t>)</w:t>
      </w:r>
      <w:r w:rsidR="00845B6B" w:rsidRPr="00C95ED2">
        <w:rPr>
          <w:rStyle w:val="a5"/>
          <w:sz w:val="24"/>
          <w:szCs w:val="24"/>
        </w:rPr>
        <w:footnoteReference w:id="15"/>
      </w:r>
      <w:r w:rsidR="00845B6B" w:rsidRPr="00C95ED2">
        <w:rPr>
          <w:sz w:val="24"/>
          <w:szCs w:val="24"/>
        </w:rPr>
        <w:t xml:space="preserve">, </w:t>
      </w:r>
      <w:r w:rsidR="00845B6B" w:rsidRPr="00C95ED2">
        <w:rPr>
          <w:rFonts w:ascii="Times New Roman" w:hAnsi="Times New Roman" w:cs="Times New Roman"/>
          <w:sz w:val="24"/>
          <w:szCs w:val="24"/>
        </w:rPr>
        <w:t>предусматривающий продление государственной регистрации новых медицинских изделий также до 31 декабря 2022 года, а внесения изменений в документы регистрационных досье зарегистрированных медицинских изделий – до 31 декабря 2026 года</w:t>
      </w:r>
      <w:r w:rsidRPr="00C95ED2">
        <w:rPr>
          <w:rFonts w:ascii="Times New Roman" w:hAnsi="Times New Roman" w:cs="Times New Roman"/>
          <w:sz w:val="24"/>
          <w:szCs w:val="24"/>
        </w:rPr>
        <w:t>.</w:t>
      </w:r>
    </w:p>
    <w:p w14:paraId="10C3A147" w14:textId="278CAFD1" w:rsidR="006C46A0" w:rsidRPr="00C95ED2" w:rsidRDefault="006C46A0" w:rsidP="006C46A0">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4C21CF">
        <w:rPr>
          <w:rFonts w:ascii="Times New Roman" w:hAnsi="Times New Roman" w:cs="Times New Roman"/>
          <w:sz w:val="24"/>
          <w:szCs w:val="24"/>
        </w:rPr>
        <w:t xml:space="preserve">1 апреля 2022 года принято </w:t>
      </w:r>
      <w:r>
        <w:rPr>
          <w:rFonts w:ascii="Times New Roman" w:hAnsi="Times New Roman" w:cs="Times New Roman"/>
          <w:sz w:val="24"/>
          <w:szCs w:val="24"/>
        </w:rPr>
        <w:t>П</w:t>
      </w:r>
      <w:r w:rsidRPr="004C21CF">
        <w:rPr>
          <w:rFonts w:ascii="Times New Roman" w:hAnsi="Times New Roman" w:cs="Times New Roman"/>
          <w:sz w:val="24"/>
          <w:szCs w:val="24"/>
        </w:rPr>
        <w:t>остановление Правительства</w:t>
      </w:r>
      <w:r>
        <w:rPr>
          <w:rFonts w:ascii="Times New Roman" w:hAnsi="Times New Roman" w:cs="Times New Roman"/>
          <w:sz w:val="24"/>
          <w:szCs w:val="24"/>
        </w:rPr>
        <w:t xml:space="preserve"> РФ</w:t>
      </w:r>
      <w:r w:rsidRPr="004C21CF">
        <w:rPr>
          <w:rFonts w:ascii="Times New Roman" w:hAnsi="Times New Roman" w:cs="Times New Roman"/>
          <w:sz w:val="24"/>
          <w:szCs w:val="24"/>
        </w:rPr>
        <w:t xml:space="preserve"> </w:t>
      </w:r>
      <w:r>
        <w:rPr>
          <w:rFonts w:ascii="Times New Roman" w:hAnsi="Times New Roman" w:cs="Times New Roman"/>
          <w:sz w:val="24"/>
          <w:szCs w:val="24"/>
        </w:rPr>
        <w:t>№</w:t>
      </w:r>
      <w:r w:rsidRPr="004C21CF">
        <w:rPr>
          <w:rFonts w:ascii="Times New Roman" w:hAnsi="Times New Roman" w:cs="Times New Roman"/>
          <w:sz w:val="24"/>
          <w:szCs w:val="24"/>
        </w:rPr>
        <w:t xml:space="preserve">552 </w:t>
      </w:r>
      <w:r>
        <w:rPr>
          <w:rFonts w:ascii="Times New Roman" w:hAnsi="Times New Roman" w:cs="Times New Roman"/>
          <w:sz w:val="24"/>
          <w:szCs w:val="24"/>
        </w:rPr>
        <w:t>«</w:t>
      </w:r>
      <w:r w:rsidRPr="004C21CF">
        <w:rPr>
          <w:rFonts w:ascii="Times New Roman" w:hAnsi="Times New Roman" w:cs="Times New Roman"/>
          <w:sz w:val="24"/>
          <w:szCs w:val="24"/>
        </w:rPr>
        <w:t xml:space="preserve">Об утверждении особенностей обращения, включая особенности государственной регистрации, медицинских изделий в случае их </w:t>
      </w:r>
      <w:proofErr w:type="spellStart"/>
      <w:r w:rsidRPr="004C21CF">
        <w:rPr>
          <w:rFonts w:ascii="Times New Roman" w:hAnsi="Times New Roman" w:cs="Times New Roman"/>
          <w:sz w:val="24"/>
          <w:szCs w:val="24"/>
        </w:rPr>
        <w:t>дефектуры</w:t>
      </w:r>
      <w:proofErr w:type="spellEnd"/>
      <w:r w:rsidRPr="004C21CF">
        <w:rPr>
          <w:rFonts w:ascii="Times New Roman" w:hAnsi="Times New Roman" w:cs="Times New Roman"/>
          <w:sz w:val="24"/>
          <w:szCs w:val="24"/>
        </w:rPr>
        <w:t xml:space="preserve"> или риска возникновения </w:t>
      </w:r>
      <w:proofErr w:type="spellStart"/>
      <w:r w:rsidRPr="004C21CF">
        <w:rPr>
          <w:rFonts w:ascii="Times New Roman" w:hAnsi="Times New Roman" w:cs="Times New Roman"/>
          <w:sz w:val="24"/>
          <w:szCs w:val="24"/>
        </w:rPr>
        <w:lastRenderedPageBreak/>
        <w:t>дефектуры</w:t>
      </w:r>
      <w:proofErr w:type="spellEnd"/>
      <w:r w:rsidRPr="004C21CF">
        <w:rPr>
          <w:rFonts w:ascii="Times New Roman" w:hAnsi="Times New Roman" w:cs="Times New Roman"/>
          <w:sz w:val="24"/>
          <w:szCs w:val="24"/>
        </w:rPr>
        <w:t xml:space="preserve"> в связи с введением в отношении Российской Федерации ограничительных мер экономического характера</w:t>
      </w:r>
      <w:r>
        <w:rPr>
          <w:rFonts w:ascii="Times New Roman" w:hAnsi="Times New Roman" w:cs="Times New Roman"/>
          <w:sz w:val="24"/>
          <w:szCs w:val="24"/>
        </w:rPr>
        <w:t>»</w:t>
      </w:r>
      <w:r w:rsidRPr="004C21CF">
        <w:rPr>
          <w:rFonts w:ascii="Times New Roman" w:hAnsi="Times New Roman" w:cs="Times New Roman"/>
          <w:sz w:val="24"/>
          <w:szCs w:val="24"/>
        </w:rPr>
        <w:t>. Согласно данно</w:t>
      </w:r>
      <w:r>
        <w:rPr>
          <w:rFonts w:ascii="Times New Roman" w:hAnsi="Times New Roman" w:cs="Times New Roman"/>
          <w:sz w:val="24"/>
          <w:szCs w:val="24"/>
        </w:rPr>
        <w:t>му</w:t>
      </w:r>
      <w:r w:rsidRPr="004C21CF">
        <w:rPr>
          <w:rFonts w:ascii="Times New Roman" w:hAnsi="Times New Roman" w:cs="Times New Roman"/>
          <w:sz w:val="24"/>
          <w:szCs w:val="24"/>
        </w:rPr>
        <w:t xml:space="preserve"> </w:t>
      </w:r>
      <w:r>
        <w:rPr>
          <w:rFonts w:ascii="Times New Roman" w:hAnsi="Times New Roman" w:cs="Times New Roman"/>
          <w:sz w:val="24"/>
          <w:szCs w:val="24"/>
        </w:rPr>
        <w:t>П</w:t>
      </w:r>
      <w:r w:rsidRPr="004C21CF">
        <w:rPr>
          <w:rFonts w:ascii="Times New Roman" w:hAnsi="Times New Roman" w:cs="Times New Roman"/>
          <w:sz w:val="24"/>
          <w:szCs w:val="24"/>
        </w:rPr>
        <w:t>остановлени</w:t>
      </w:r>
      <w:r>
        <w:rPr>
          <w:rFonts w:ascii="Times New Roman" w:hAnsi="Times New Roman" w:cs="Times New Roman"/>
          <w:sz w:val="24"/>
          <w:szCs w:val="24"/>
        </w:rPr>
        <w:t>ю,</w:t>
      </w:r>
      <w:r w:rsidRPr="004C21CF">
        <w:rPr>
          <w:rFonts w:ascii="Times New Roman" w:hAnsi="Times New Roman" w:cs="Times New Roman"/>
          <w:sz w:val="24"/>
          <w:szCs w:val="24"/>
        </w:rPr>
        <w:t xml:space="preserve"> будет введен временный ускоренный порядок регистрации ряда медицинских изделий, которые будут утверждены в соответствую</w:t>
      </w:r>
      <w:r>
        <w:rPr>
          <w:rFonts w:ascii="Times New Roman" w:hAnsi="Times New Roman" w:cs="Times New Roman"/>
          <w:sz w:val="24"/>
          <w:szCs w:val="24"/>
        </w:rPr>
        <w:t xml:space="preserve">щих списках. (списки </w:t>
      </w:r>
      <w:proofErr w:type="spellStart"/>
      <w:r>
        <w:rPr>
          <w:rFonts w:ascii="Times New Roman" w:hAnsi="Times New Roman" w:cs="Times New Roman"/>
          <w:sz w:val="24"/>
          <w:szCs w:val="24"/>
        </w:rPr>
        <w:t>медизделий</w:t>
      </w:r>
      <w:proofErr w:type="spellEnd"/>
      <w:r w:rsidRPr="004C21CF">
        <w:rPr>
          <w:rFonts w:ascii="Times New Roman" w:hAnsi="Times New Roman" w:cs="Times New Roman"/>
          <w:sz w:val="24"/>
          <w:szCs w:val="24"/>
        </w:rPr>
        <w:t xml:space="preserve"> еще не готовы)</w:t>
      </w:r>
      <w:r>
        <w:rPr>
          <w:rFonts w:ascii="Times New Roman" w:hAnsi="Times New Roman" w:cs="Times New Roman"/>
          <w:sz w:val="24"/>
          <w:szCs w:val="24"/>
        </w:rPr>
        <w:t xml:space="preserve"> с выдачей регистрационных удостоверений сроком действия до 01.09.2023 г.</w:t>
      </w:r>
      <w:bookmarkStart w:id="0" w:name="_GoBack"/>
      <w:bookmarkEnd w:id="0"/>
      <w:r w:rsidRPr="004C21CF">
        <w:rPr>
          <w:rFonts w:ascii="Times New Roman" w:hAnsi="Times New Roman" w:cs="Times New Roman"/>
          <w:sz w:val="24"/>
          <w:szCs w:val="24"/>
        </w:rPr>
        <w:t xml:space="preserve"> Мы должны отметить, что регулирование списками – работает недостаточно эффективно, что мы можем наблюдать на примерах по спискам оборудования из стандартов оснащения </w:t>
      </w:r>
      <w:proofErr w:type="spellStart"/>
      <w:r w:rsidRPr="004C21CF">
        <w:rPr>
          <w:rFonts w:ascii="Times New Roman" w:hAnsi="Times New Roman" w:cs="Times New Roman"/>
          <w:sz w:val="24"/>
          <w:szCs w:val="24"/>
        </w:rPr>
        <w:t>медорганизаций</w:t>
      </w:r>
      <w:proofErr w:type="spellEnd"/>
      <w:r w:rsidRPr="004C21CF">
        <w:rPr>
          <w:rFonts w:ascii="Times New Roman" w:hAnsi="Times New Roman" w:cs="Times New Roman"/>
          <w:sz w:val="24"/>
          <w:szCs w:val="24"/>
        </w:rPr>
        <w:t>. Эти списки постоянно корректируются, дополняются, видоизменяются.</w:t>
      </w:r>
    </w:p>
    <w:p w14:paraId="40126A79" w14:textId="240E758B" w:rsidR="007156F9" w:rsidRPr="00C95ED2" w:rsidRDefault="00BB1F9D" w:rsidP="00911917">
      <w:pPr>
        <w:ind w:firstLine="708"/>
        <w:jc w:val="both"/>
        <w:rPr>
          <w:rFonts w:ascii="Times New Roman" w:hAnsi="Times New Roman" w:cs="Times New Roman"/>
          <w:sz w:val="24"/>
          <w:szCs w:val="24"/>
        </w:rPr>
      </w:pPr>
      <w:r w:rsidRPr="00C95ED2">
        <w:rPr>
          <w:rFonts w:ascii="Times New Roman" w:hAnsi="Times New Roman" w:cs="Times New Roman"/>
          <w:sz w:val="24"/>
          <w:szCs w:val="24"/>
        </w:rPr>
        <w:t>Вышеуказанные меры предусматривают, что процедура ЕАЭС будет усовершенствована, и практические сложности ее применения будут ликвиди</w:t>
      </w:r>
      <w:r w:rsidR="00846732" w:rsidRPr="00C95ED2">
        <w:rPr>
          <w:rFonts w:ascii="Times New Roman" w:hAnsi="Times New Roman" w:cs="Times New Roman"/>
          <w:sz w:val="24"/>
          <w:szCs w:val="24"/>
        </w:rPr>
        <w:t>рованы до 31 декабря 2022 года.</w:t>
      </w:r>
      <w:r w:rsidR="00A90ABE" w:rsidRPr="00C95ED2">
        <w:rPr>
          <w:rFonts w:ascii="Times New Roman" w:hAnsi="Times New Roman" w:cs="Times New Roman"/>
          <w:sz w:val="24"/>
          <w:szCs w:val="24"/>
        </w:rPr>
        <w:t xml:space="preserve"> </w:t>
      </w:r>
      <w:r w:rsidRPr="00C95ED2">
        <w:rPr>
          <w:rFonts w:ascii="Times New Roman" w:hAnsi="Times New Roman" w:cs="Times New Roman"/>
          <w:sz w:val="24"/>
          <w:szCs w:val="24"/>
        </w:rPr>
        <w:t xml:space="preserve">Вместе с тем, </w:t>
      </w:r>
      <w:r w:rsidR="00A90ABE" w:rsidRPr="00C95ED2">
        <w:rPr>
          <w:rFonts w:ascii="Times New Roman" w:hAnsi="Times New Roman" w:cs="Times New Roman"/>
          <w:sz w:val="24"/>
          <w:szCs w:val="24"/>
        </w:rPr>
        <w:t xml:space="preserve">темпы совершенствования процедуры ЕАЭС далеки от идеальных. С момента вступления в силу этой процедуры в 2016 году, первые нормативные документы, вносящие корректировки в наиболее спорные и трудные для выполнения моменты процедуры ЕАЭС (включая </w:t>
      </w:r>
      <w:r w:rsidR="00CA60C3" w:rsidRPr="00C95ED2">
        <w:rPr>
          <w:rFonts w:ascii="Times New Roman" w:hAnsi="Times New Roman" w:cs="Times New Roman"/>
          <w:sz w:val="24"/>
          <w:szCs w:val="24"/>
        </w:rPr>
        <w:t>некоторые из вышеперечисленных), были опубликованы лишь в 2021-2022 гг., и основополагающие из них не вступили в силу на момент составления настоящего обращения.</w:t>
      </w:r>
      <w:r w:rsidR="00845B6B" w:rsidRPr="00C95ED2">
        <w:rPr>
          <w:rFonts w:ascii="Times New Roman" w:hAnsi="Times New Roman" w:cs="Times New Roman"/>
          <w:sz w:val="24"/>
          <w:szCs w:val="24"/>
        </w:rPr>
        <w:t xml:space="preserve"> </w:t>
      </w:r>
    </w:p>
    <w:p w14:paraId="1D8B8404" w14:textId="77777777" w:rsidR="00A7520A" w:rsidRPr="00C95ED2" w:rsidRDefault="007156F9" w:rsidP="00C95ED2">
      <w:pPr>
        <w:ind w:firstLine="708"/>
        <w:jc w:val="both"/>
        <w:rPr>
          <w:rFonts w:ascii="Times New Roman" w:hAnsi="Times New Roman" w:cs="Times New Roman"/>
          <w:sz w:val="24"/>
          <w:szCs w:val="24"/>
        </w:rPr>
      </w:pPr>
      <w:r w:rsidRPr="00C95ED2">
        <w:rPr>
          <w:rFonts w:ascii="Times New Roman" w:hAnsi="Times New Roman" w:cs="Times New Roman"/>
          <w:sz w:val="24"/>
          <w:szCs w:val="24"/>
        </w:rPr>
        <w:t>Приведем ниже конкретные примеры темпов совершенствования основополагающих регулирующих документов процедуры ЕАЭС:</w:t>
      </w:r>
    </w:p>
    <w:p w14:paraId="0C54620D" w14:textId="77777777" w:rsidR="007156F9" w:rsidRPr="00A7520A" w:rsidRDefault="00A7520A" w:rsidP="00A7520A">
      <w:pPr>
        <w:jc w:val="right"/>
        <w:rPr>
          <w:rFonts w:ascii="Times New Roman" w:hAnsi="Times New Roman" w:cs="Times New Roman"/>
          <w:u w:val="single"/>
        </w:rPr>
      </w:pPr>
      <w:r w:rsidRPr="00A7520A">
        <w:rPr>
          <w:rFonts w:ascii="Times New Roman" w:hAnsi="Times New Roman" w:cs="Times New Roman"/>
          <w:u w:val="single"/>
        </w:rPr>
        <w:t>Таблица №2. Темпы совершенствования основных регулирующих документов процедуры ЕАЭС.</w:t>
      </w:r>
    </w:p>
    <w:tbl>
      <w:tblPr>
        <w:tblStyle w:val="a7"/>
        <w:tblW w:w="0" w:type="auto"/>
        <w:tblLayout w:type="fixed"/>
        <w:tblLook w:val="04A0" w:firstRow="1" w:lastRow="0" w:firstColumn="1" w:lastColumn="0" w:noHBand="0" w:noVBand="1"/>
      </w:tblPr>
      <w:tblGrid>
        <w:gridCol w:w="1838"/>
        <w:gridCol w:w="1885"/>
        <w:gridCol w:w="1628"/>
        <w:gridCol w:w="1997"/>
        <w:gridCol w:w="1997"/>
      </w:tblGrid>
      <w:tr w:rsidR="007156F9" w14:paraId="3A4883C2" w14:textId="77777777" w:rsidTr="00B0715D">
        <w:tc>
          <w:tcPr>
            <w:tcW w:w="1838" w:type="dxa"/>
            <w:vAlign w:val="center"/>
          </w:tcPr>
          <w:p w14:paraId="1C4242F9" w14:textId="77777777" w:rsidR="007156F9" w:rsidRPr="007156F9" w:rsidRDefault="007156F9" w:rsidP="007156F9">
            <w:pPr>
              <w:jc w:val="center"/>
              <w:rPr>
                <w:rFonts w:ascii="Times New Roman" w:hAnsi="Times New Roman" w:cs="Times New Roman"/>
                <w:i/>
              </w:rPr>
            </w:pPr>
            <w:r>
              <w:rPr>
                <w:rFonts w:ascii="Times New Roman" w:hAnsi="Times New Roman" w:cs="Times New Roman"/>
                <w:i/>
              </w:rPr>
              <w:t>Реквизиты и наименование основного документа</w:t>
            </w:r>
          </w:p>
        </w:tc>
        <w:tc>
          <w:tcPr>
            <w:tcW w:w="1885" w:type="dxa"/>
            <w:vAlign w:val="center"/>
          </w:tcPr>
          <w:p w14:paraId="3510116A" w14:textId="77777777" w:rsidR="007156F9" w:rsidRDefault="007156F9" w:rsidP="007156F9">
            <w:pPr>
              <w:jc w:val="both"/>
              <w:rPr>
                <w:rFonts w:ascii="Times New Roman" w:hAnsi="Times New Roman" w:cs="Times New Roman"/>
              </w:rPr>
            </w:pPr>
            <w:r>
              <w:rPr>
                <w:rFonts w:ascii="Times New Roman" w:hAnsi="Times New Roman" w:cs="Times New Roman"/>
                <w:i/>
              </w:rPr>
              <w:t xml:space="preserve">Реквизиты и наименование </w:t>
            </w:r>
            <w:proofErr w:type="spellStart"/>
            <w:r>
              <w:rPr>
                <w:rFonts w:ascii="Times New Roman" w:hAnsi="Times New Roman" w:cs="Times New Roman"/>
                <w:i/>
              </w:rPr>
              <w:t>модифицирующе</w:t>
            </w:r>
            <w:r w:rsidR="00B0715D">
              <w:rPr>
                <w:rFonts w:ascii="Times New Roman" w:hAnsi="Times New Roman" w:cs="Times New Roman"/>
                <w:i/>
              </w:rPr>
              <w:t>-</w:t>
            </w:r>
            <w:r>
              <w:rPr>
                <w:rFonts w:ascii="Times New Roman" w:hAnsi="Times New Roman" w:cs="Times New Roman"/>
                <w:i/>
              </w:rPr>
              <w:t>го</w:t>
            </w:r>
            <w:proofErr w:type="spellEnd"/>
            <w:r>
              <w:rPr>
                <w:rFonts w:ascii="Times New Roman" w:hAnsi="Times New Roman" w:cs="Times New Roman"/>
                <w:i/>
              </w:rPr>
              <w:t xml:space="preserve"> документа</w:t>
            </w:r>
          </w:p>
        </w:tc>
        <w:tc>
          <w:tcPr>
            <w:tcW w:w="1628" w:type="dxa"/>
            <w:vAlign w:val="center"/>
          </w:tcPr>
          <w:p w14:paraId="4478E9DF" w14:textId="77777777" w:rsidR="007156F9" w:rsidRPr="007156F9" w:rsidRDefault="007156F9" w:rsidP="007156F9">
            <w:pPr>
              <w:jc w:val="center"/>
              <w:rPr>
                <w:rFonts w:ascii="Times New Roman" w:hAnsi="Times New Roman" w:cs="Times New Roman"/>
                <w:i/>
              </w:rPr>
            </w:pPr>
            <w:r>
              <w:rPr>
                <w:rFonts w:ascii="Times New Roman" w:hAnsi="Times New Roman" w:cs="Times New Roman"/>
                <w:i/>
              </w:rPr>
              <w:t>Дата вступления в силу основного документа</w:t>
            </w:r>
          </w:p>
        </w:tc>
        <w:tc>
          <w:tcPr>
            <w:tcW w:w="1997" w:type="dxa"/>
            <w:vAlign w:val="center"/>
          </w:tcPr>
          <w:p w14:paraId="6DB0EC19" w14:textId="77777777" w:rsidR="007156F9" w:rsidRDefault="007156F9" w:rsidP="007156F9">
            <w:pPr>
              <w:jc w:val="center"/>
              <w:rPr>
                <w:rFonts w:ascii="Times New Roman" w:hAnsi="Times New Roman" w:cs="Times New Roman"/>
              </w:rPr>
            </w:pPr>
            <w:r>
              <w:rPr>
                <w:rFonts w:ascii="Times New Roman" w:hAnsi="Times New Roman" w:cs="Times New Roman"/>
                <w:i/>
              </w:rPr>
              <w:t>Дата вступления в силу модифицирующего  документа</w:t>
            </w:r>
          </w:p>
        </w:tc>
        <w:tc>
          <w:tcPr>
            <w:tcW w:w="1997" w:type="dxa"/>
          </w:tcPr>
          <w:p w14:paraId="375E5DFD" w14:textId="77777777" w:rsidR="007156F9" w:rsidRPr="007156F9" w:rsidRDefault="007156F9" w:rsidP="007156F9">
            <w:pPr>
              <w:jc w:val="center"/>
              <w:rPr>
                <w:rFonts w:ascii="Times New Roman" w:hAnsi="Times New Roman" w:cs="Times New Roman"/>
                <w:i/>
              </w:rPr>
            </w:pPr>
            <w:r>
              <w:rPr>
                <w:rFonts w:ascii="Times New Roman" w:hAnsi="Times New Roman" w:cs="Times New Roman"/>
                <w:i/>
              </w:rPr>
              <w:t>Период с момента вступления в силу основного документа до момента вступления в силу модифицирующего документа</w:t>
            </w:r>
          </w:p>
        </w:tc>
      </w:tr>
      <w:tr w:rsidR="007156F9" w14:paraId="3D4AB476" w14:textId="77777777" w:rsidTr="00B84DC9">
        <w:tc>
          <w:tcPr>
            <w:tcW w:w="1838" w:type="dxa"/>
          </w:tcPr>
          <w:p w14:paraId="0AF382F2"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t>Решение №46 Совета ЕЭК «О Правилах регистрации и экспертизы безопасности, качества и эффективности медицинских изделий» от 12.02.2016 г.</w:t>
            </w:r>
          </w:p>
        </w:tc>
        <w:tc>
          <w:tcPr>
            <w:tcW w:w="1885" w:type="dxa"/>
          </w:tcPr>
          <w:p w14:paraId="3AF32CBF" w14:textId="77777777" w:rsidR="007156F9" w:rsidRPr="00D86268" w:rsidRDefault="00B84DC9" w:rsidP="00B84DC9">
            <w:pPr>
              <w:jc w:val="both"/>
              <w:rPr>
                <w:rFonts w:ascii="Times New Roman" w:hAnsi="Times New Roman" w:cs="Times New Roman"/>
                <w:sz w:val="20"/>
                <w:szCs w:val="20"/>
              </w:rPr>
            </w:pPr>
            <w:r w:rsidRPr="00D86268">
              <w:rPr>
                <w:rFonts w:ascii="Times New Roman" w:hAnsi="Times New Roman" w:cs="Times New Roman"/>
                <w:sz w:val="20"/>
                <w:szCs w:val="20"/>
              </w:rPr>
              <w:t>Решение №144  Совета ЕЭК «О внесении изменений в Правила регистрации и экспертизы безопасности, качества и эффективности медицинских изделий» от 24.12.2021 г.</w:t>
            </w:r>
          </w:p>
        </w:tc>
        <w:tc>
          <w:tcPr>
            <w:tcW w:w="1628" w:type="dxa"/>
          </w:tcPr>
          <w:p w14:paraId="1E086305"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t>06.05.2017 г.</w:t>
            </w:r>
          </w:p>
        </w:tc>
        <w:tc>
          <w:tcPr>
            <w:tcW w:w="1997" w:type="dxa"/>
          </w:tcPr>
          <w:p w14:paraId="42CB832B"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t>18.07.2022 г.</w:t>
            </w:r>
          </w:p>
        </w:tc>
        <w:tc>
          <w:tcPr>
            <w:tcW w:w="1997" w:type="dxa"/>
          </w:tcPr>
          <w:p w14:paraId="1473E5FC"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t>Примерно 5 лет и 2 месяца</w:t>
            </w:r>
          </w:p>
        </w:tc>
      </w:tr>
      <w:tr w:rsidR="007156F9" w14:paraId="36813AAD" w14:textId="77777777" w:rsidTr="00B84DC9">
        <w:tc>
          <w:tcPr>
            <w:tcW w:w="1838" w:type="dxa"/>
          </w:tcPr>
          <w:p w14:paraId="75F9EA61" w14:textId="77777777" w:rsidR="007156F9" w:rsidRPr="00D86268" w:rsidRDefault="00B84DC9" w:rsidP="00B84DC9">
            <w:pPr>
              <w:jc w:val="both"/>
              <w:rPr>
                <w:rFonts w:ascii="Times New Roman" w:hAnsi="Times New Roman" w:cs="Times New Roman"/>
                <w:sz w:val="20"/>
                <w:szCs w:val="20"/>
              </w:rPr>
            </w:pPr>
            <w:r w:rsidRPr="00D86268">
              <w:rPr>
                <w:rFonts w:ascii="Times New Roman" w:hAnsi="Times New Roman" w:cs="Times New Roman"/>
                <w:sz w:val="20"/>
                <w:szCs w:val="20"/>
              </w:rPr>
              <w:t xml:space="preserve">Решение Совета ЕЭК №106 «О Требованиях к внедрению, поддержанию и оценке системы менеджмента качества медицинских изделий в зависимости от потенциального риска их </w:t>
            </w:r>
            <w:r w:rsidRPr="00D86268">
              <w:rPr>
                <w:rFonts w:ascii="Times New Roman" w:hAnsi="Times New Roman" w:cs="Times New Roman"/>
                <w:sz w:val="20"/>
                <w:szCs w:val="20"/>
              </w:rPr>
              <w:lastRenderedPageBreak/>
              <w:t>применения» от 10.11.2017 г.</w:t>
            </w:r>
          </w:p>
        </w:tc>
        <w:tc>
          <w:tcPr>
            <w:tcW w:w="1885" w:type="dxa"/>
          </w:tcPr>
          <w:p w14:paraId="0FA19170" w14:textId="77777777" w:rsidR="007156F9" w:rsidRPr="00D86268" w:rsidRDefault="00B84DC9" w:rsidP="00A7520A">
            <w:pPr>
              <w:jc w:val="both"/>
              <w:rPr>
                <w:rFonts w:ascii="Times New Roman" w:hAnsi="Times New Roman" w:cs="Times New Roman"/>
                <w:sz w:val="20"/>
                <w:szCs w:val="20"/>
              </w:rPr>
            </w:pPr>
            <w:r w:rsidRPr="00D86268">
              <w:rPr>
                <w:rFonts w:ascii="Times New Roman" w:hAnsi="Times New Roman" w:cs="Times New Roman"/>
                <w:sz w:val="20"/>
                <w:szCs w:val="20"/>
              </w:rPr>
              <w:lastRenderedPageBreak/>
              <w:t xml:space="preserve">Решение Совета ЕЭК №131 </w:t>
            </w:r>
            <w:r w:rsidR="00A7520A" w:rsidRPr="00D86268">
              <w:rPr>
                <w:rFonts w:ascii="Times New Roman" w:hAnsi="Times New Roman" w:cs="Times New Roman"/>
                <w:sz w:val="20"/>
                <w:szCs w:val="20"/>
              </w:rPr>
              <w:t xml:space="preserve">«О внесении изменений в Требования к внедрению, поддержанию и оценке системы менеджмента качества медицинских изделий в зависимости от </w:t>
            </w:r>
            <w:r w:rsidR="00A7520A" w:rsidRPr="00D86268">
              <w:rPr>
                <w:rFonts w:ascii="Times New Roman" w:hAnsi="Times New Roman" w:cs="Times New Roman"/>
                <w:sz w:val="20"/>
                <w:szCs w:val="20"/>
              </w:rPr>
              <w:lastRenderedPageBreak/>
              <w:t>потенциального риска их применения» от 12.11.2021 г.</w:t>
            </w:r>
          </w:p>
        </w:tc>
        <w:tc>
          <w:tcPr>
            <w:tcW w:w="1628" w:type="dxa"/>
          </w:tcPr>
          <w:p w14:paraId="44553574"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lastRenderedPageBreak/>
              <w:t>15.03.2018 г.</w:t>
            </w:r>
          </w:p>
        </w:tc>
        <w:tc>
          <w:tcPr>
            <w:tcW w:w="1997" w:type="dxa"/>
          </w:tcPr>
          <w:p w14:paraId="13F06CB9"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t>31.12.2021 г.</w:t>
            </w:r>
          </w:p>
        </w:tc>
        <w:tc>
          <w:tcPr>
            <w:tcW w:w="1997" w:type="dxa"/>
          </w:tcPr>
          <w:p w14:paraId="0987B6EC" w14:textId="77777777" w:rsidR="007156F9" w:rsidRPr="00D86268" w:rsidRDefault="00B84DC9" w:rsidP="00817BE8">
            <w:pPr>
              <w:jc w:val="both"/>
              <w:rPr>
                <w:rFonts w:ascii="Times New Roman" w:hAnsi="Times New Roman" w:cs="Times New Roman"/>
                <w:sz w:val="20"/>
                <w:szCs w:val="20"/>
              </w:rPr>
            </w:pPr>
            <w:r w:rsidRPr="00D86268">
              <w:rPr>
                <w:rFonts w:ascii="Times New Roman" w:hAnsi="Times New Roman" w:cs="Times New Roman"/>
                <w:sz w:val="20"/>
                <w:szCs w:val="20"/>
              </w:rPr>
              <w:t>Примерно 3 года и 9 месяцев</w:t>
            </w:r>
          </w:p>
        </w:tc>
      </w:tr>
      <w:tr w:rsidR="007156F9" w14:paraId="13415C27" w14:textId="77777777" w:rsidTr="00B84DC9">
        <w:tc>
          <w:tcPr>
            <w:tcW w:w="1838" w:type="dxa"/>
          </w:tcPr>
          <w:p w14:paraId="16B4C881" w14:textId="77777777" w:rsidR="007156F9" w:rsidRPr="00D86268" w:rsidRDefault="00B0715D" w:rsidP="00B0715D">
            <w:pPr>
              <w:jc w:val="both"/>
              <w:rPr>
                <w:rFonts w:ascii="Times New Roman" w:hAnsi="Times New Roman" w:cs="Times New Roman"/>
                <w:sz w:val="20"/>
                <w:szCs w:val="20"/>
              </w:rPr>
            </w:pPr>
            <w:r w:rsidRPr="00D86268">
              <w:rPr>
                <w:rFonts w:ascii="Times New Roman" w:hAnsi="Times New Roman" w:cs="Times New Roman"/>
                <w:sz w:val="20"/>
                <w:szCs w:val="20"/>
              </w:rPr>
              <w:t>Решение Совета ЕЭК №28 «Об утверждении Правил проведения технических испытаний медицинских изделий» от 12.02.2016 г.</w:t>
            </w:r>
          </w:p>
        </w:tc>
        <w:tc>
          <w:tcPr>
            <w:tcW w:w="1885" w:type="dxa"/>
          </w:tcPr>
          <w:p w14:paraId="307CC58C" w14:textId="77777777" w:rsidR="007156F9" w:rsidRPr="00D86268" w:rsidRDefault="00B0715D" w:rsidP="00B0715D">
            <w:pPr>
              <w:jc w:val="both"/>
              <w:rPr>
                <w:rFonts w:ascii="Times New Roman" w:hAnsi="Times New Roman" w:cs="Times New Roman"/>
                <w:sz w:val="20"/>
                <w:szCs w:val="20"/>
              </w:rPr>
            </w:pPr>
            <w:r w:rsidRPr="00D86268">
              <w:rPr>
                <w:rFonts w:ascii="Times New Roman" w:hAnsi="Times New Roman" w:cs="Times New Roman"/>
                <w:sz w:val="20"/>
                <w:szCs w:val="20"/>
              </w:rPr>
              <w:t>Решение Совета ЕЭК №25 «О внесении изменений в Правила проведения технических испытаний медицинских изделий» от 17.03.2022 г.</w:t>
            </w:r>
          </w:p>
        </w:tc>
        <w:tc>
          <w:tcPr>
            <w:tcW w:w="1628" w:type="dxa"/>
          </w:tcPr>
          <w:p w14:paraId="3DB346AE"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06.05.2017 г.</w:t>
            </w:r>
          </w:p>
        </w:tc>
        <w:tc>
          <w:tcPr>
            <w:tcW w:w="1997" w:type="dxa"/>
          </w:tcPr>
          <w:p w14:paraId="21AB4B3E"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14.09.2022 г.</w:t>
            </w:r>
          </w:p>
        </w:tc>
        <w:tc>
          <w:tcPr>
            <w:tcW w:w="1997" w:type="dxa"/>
          </w:tcPr>
          <w:p w14:paraId="43724EAF"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Примерно 5 лет и 4 месяца</w:t>
            </w:r>
          </w:p>
        </w:tc>
      </w:tr>
      <w:tr w:rsidR="007156F9" w14:paraId="55959842" w14:textId="77777777" w:rsidTr="00B84DC9">
        <w:tc>
          <w:tcPr>
            <w:tcW w:w="1838" w:type="dxa"/>
          </w:tcPr>
          <w:p w14:paraId="4D791012" w14:textId="77777777" w:rsidR="007156F9" w:rsidRPr="00D86268" w:rsidRDefault="00B0715D" w:rsidP="00B0715D">
            <w:pPr>
              <w:jc w:val="both"/>
              <w:rPr>
                <w:rFonts w:ascii="Times New Roman" w:hAnsi="Times New Roman" w:cs="Times New Roman"/>
                <w:sz w:val="20"/>
                <w:szCs w:val="20"/>
              </w:rPr>
            </w:pPr>
            <w:r w:rsidRPr="00D86268">
              <w:rPr>
                <w:rFonts w:ascii="Times New Roman" w:hAnsi="Times New Roman" w:cs="Times New Roman"/>
                <w:sz w:val="20"/>
                <w:szCs w:val="20"/>
              </w:rPr>
              <w:t>Решение Совета ЕЭК №38 «Об утверждении Правил проведения исследований (испытаний) с целью оценки биологического действия медицинских изделий» от 16.05.2016 г.</w:t>
            </w:r>
          </w:p>
        </w:tc>
        <w:tc>
          <w:tcPr>
            <w:tcW w:w="1885" w:type="dxa"/>
          </w:tcPr>
          <w:p w14:paraId="386A5C74" w14:textId="77777777" w:rsidR="007156F9" w:rsidRPr="00D86268" w:rsidRDefault="00B0715D" w:rsidP="00B0715D">
            <w:pPr>
              <w:jc w:val="both"/>
              <w:rPr>
                <w:rFonts w:ascii="Times New Roman" w:hAnsi="Times New Roman" w:cs="Times New Roman"/>
                <w:sz w:val="20"/>
                <w:szCs w:val="20"/>
              </w:rPr>
            </w:pPr>
            <w:r w:rsidRPr="00D86268">
              <w:rPr>
                <w:rFonts w:ascii="Times New Roman" w:hAnsi="Times New Roman" w:cs="Times New Roman"/>
                <w:sz w:val="20"/>
                <w:szCs w:val="20"/>
              </w:rPr>
              <w:t xml:space="preserve">Решение Совета ЕЭК №26 «О внесении изменений в Правила проведения исследований (испытаний) с целью оценки биологического действия медицинских изделий» от 17.03.2022 </w:t>
            </w:r>
          </w:p>
        </w:tc>
        <w:tc>
          <w:tcPr>
            <w:tcW w:w="1628" w:type="dxa"/>
          </w:tcPr>
          <w:p w14:paraId="6369A6C7"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06.05.2017 г.</w:t>
            </w:r>
          </w:p>
        </w:tc>
        <w:tc>
          <w:tcPr>
            <w:tcW w:w="1997" w:type="dxa"/>
          </w:tcPr>
          <w:p w14:paraId="67301BEC"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14.09.2022 г.</w:t>
            </w:r>
          </w:p>
        </w:tc>
        <w:tc>
          <w:tcPr>
            <w:tcW w:w="1997" w:type="dxa"/>
          </w:tcPr>
          <w:p w14:paraId="3BAC21B3"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Примерно 5 лет и 4 месяца</w:t>
            </w:r>
          </w:p>
        </w:tc>
      </w:tr>
      <w:tr w:rsidR="007156F9" w14:paraId="4DBE9AA1" w14:textId="77777777" w:rsidTr="00911917">
        <w:tc>
          <w:tcPr>
            <w:tcW w:w="1838" w:type="dxa"/>
          </w:tcPr>
          <w:p w14:paraId="66FEF9B6" w14:textId="77777777" w:rsidR="007156F9" w:rsidRPr="00D86268" w:rsidRDefault="00B0715D" w:rsidP="00B0715D">
            <w:pPr>
              <w:jc w:val="both"/>
              <w:rPr>
                <w:rFonts w:ascii="Times New Roman" w:hAnsi="Times New Roman" w:cs="Times New Roman"/>
                <w:sz w:val="20"/>
                <w:szCs w:val="20"/>
              </w:rPr>
            </w:pPr>
            <w:r w:rsidRPr="00D86268">
              <w:rPr>
                <w:rFonts w:ascii="Times New Roman" w:hAnsi="Times New Roman" w:cs="Times New Roman"/>
                <w:sz w:val="20"/>
                <w:szCs w:val="20"/>
              </w:rPr>
              <w:t>Решение Совета ЕЭК №29 «О Правилах проведения клинических и клинико-лабораторных испытаний (исследований) медицинских изделий» от 12.02.2016 г.</w:t>
            </w:r>
          </w:p>
        </w:tc>
        <w:tc>
          <w:tcPr>
            <w:tcW w:w="1885" w:type="dxa"/>
          </w:tcPr>
          <w:p w14:paraId="5EBE9DDF"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Основной модифицирующий документ в разработке</w:t>
            </w:r>
          </w:p>
        </w:tc>
        <w:tc>
          <w:tcPr>
            <w:tcW w:w="1628" w:type="dxa"/>
          </w:tcPr>
          <w:p w14:paraId="51BB5D49"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06.05.2017 г.</w:t>
            </w:r>
          </w:p>
        </w:tc>
        <w:tc>
          <w:tcPr>
            <w:tcW w:w="1997" w:type="dxa"/>
            <w:shd w:val="clear" w:color="auto" w:fill="auto"/>
          </w:tcPr>
          <w:p w14:paraId="1BF69B3B" w14:textId="77777777" w:rsidR="007156F9" w:rsidRPr="00D86268" w:rsidRDefault="00B0715D" w:rsidP="00817BE8">
            <w:pPr>
              <w:jc w:val="both"/>
              <w:rPr>
                <w:rFonts w:ascii="Times New Roman" w:hAnsi="Times New Roman" w:cs="Times New Roman"/>
                <w:sz w:val="20"/>
                <w:szCs w:val="20"/>
              </w:rPr>
            </w:pPr>
            <w:r w:rsidRPr="00D86268">
              <w:rPr>
                <w:rFonts w:ascii="Times New Roman" w:hAnsi="Times New Roman" w:cs="Times New Roman"/>
                <w:sz w:val="20"/>
                <w:szCs w:val="20"/>
              </w:rPr>
              <w:t>Основной модифицирующий документ в разработке</w:t>
            </w:r>
          </w:p>
        </w:tc>
        <w:tc>
          <w:tcPr>
            <w:tcW w:w="1997" w:type="dxa"/>
          </w:tcPr>
          <w:p w14:paraId="5EADD483" w14:textId="77777777" w:rsidR="007156F9" w:rsidRPr="00D86268" w:rsidRDefault="00BD7111" w:rsidP="00817BE8">
            <w:pPr>
              <w:jc w:val="both"/>
              <w:rPr>
                <w:rFonts w:ascii="Times New Roman" w:hAnsi="Times New Roman" w:cs="Times New Roman"/>
                <w:sz w:val="20"/>
                <w:szCs w:val="20"/>
              </w:rPr>
            </w:pPr>
            <w:r w:rsidRPr="00D86268">
              <w:rPr>
                <w:rFonts w:ascii="Times New Roman" w:hAnsi="Times New Roman" w:cs="Times New Roman"/>
                <w:sz w:val="20"/>
                <w:szCs w:val="20"/>
              </w:rPr>
              <w:t>Не менее 5 лет и 4 месяцев (т.к. Решения Совета ЕЭК, модифицирующие Правила испытаний медицинских изделий, вступают в силу по истечению 180 календарных дней после их опубликования)</w:t>
            </w:r>
          </w:p>
        </w:tc>
      </w:tr>
      <w:tr w:rsidR="00BD7111" w14:paraId="1B64F68E" w14:textId="77777777" w:rsidTr="00956616">
        <w:tc>
          <w:tcPr>
            <w:tcW w:w="9345" w:type="dxa"/>
            <w:gridSpan w:val="5"/>
          </w:tcPr>
          <w:p w14:paraId="243EE1B1" w14:textId="77777777" w:rsidR="00BD7111" w:rsidRPr="00BD7111" w:rsidRDefault="00BD7111" w:rsidP="00BD7111">
            <w:pPr>
              <w:jc w:val="center"/>
              <w:rPr>
                <w:rFonts w:ascii="Times New Roman" w:hAnsi="Times New Roman" w:cs="Times New Roman"/>
                <w:i/>
              </w:rPr>
            </w:pPr>
            <w:r>
              <w:rPr>
                <w:rFonts w:ascii="Times New Roman" w:hAnsi="Times New Roman" w:cs="Times New Roman"/>
                <w:i/>
              </w:rPr>
              <w:t xml:space="preserve">Примечание: в </w:t>
            </w:r>
            <w:r w:rsidRPr="00BD7111">
              <w:rPr>
                <w:rFonts w:ascii="Times New Roman" w:hAnsi="Times New Roman" w:cs="Times New Roman"/>
                <w:i/>
              </w:rPr>
              <w:t>Правила проведения клинических и клинико-лабораторных испытаний (исследований) медицинских изделий</w:t>
            </w:r>
            <w:r>
              <w:rPr>
                <w:rFonts w:ascii="Times New Roman" w:hAnsi="Times New Roman" w:cs="Times New Roman"/>
                <w:i/>
              </w:rPr>
              <w:t xml:space="preserve"> вносились незначительные изменения на основании Решения </w:t>
            </w:r>
            <w:r w:rsidRPr="00BD7111">
              <w:rPr>
                <w:rFonts w:ascii="Times New Roman" w:hAnsi="Times New Roman" w:cs="Times New Roman"/>
                <w:i/>
              </w:rPr>
              <w:t xml:space="preserve">Совета ЕЭК </w:t>
            </w:r>
            <w:r>
              <w:rPr>
                <w:rFonts w:ascii="Times New Roman" w:hAnsi="Times New Roman" w:cs="Times New Roman"/>
                <w:i/>
              </w:rPr>
              <w:t>№</w:t>
            </w:r>
            <w:r w:rsidRPr="00BD7111">
              <w:rPr>
                <w:rFonts w:ascii="Times New Roman" w:hAnsi="Times New Roman" w:cs="Times New Roman"/>
                <w:i/>
              </w:rPr>
              <w:t>146</w:t>
            </w:r>
            <w:r>
              <w:rPr>
                <w:rFonts w:ascii="Times New Roman" w:hAnsi="Times New Roman" w:cs="Times New Roman"/>
                <w:i/>
              </w:rPr>
              <w:t xml:space="preserve"> «</w:t>
            </w:r>
            <w:r w:rsidRPr="00BD7111">
              <w:rPr>
                <w:rFonts w:ascii="Times New Roman" w:hAnsi="Times New Roman" w:cs="Times New Roman"/>
                <w:i/>
              </w:rPr>
              <w:t>О внесении изменений в Решение Совета Евразийской экономической комиссии от 12 февраля 2016 г. N 29</w:t>
            </w:r>
            <w:r>
              <w:rPr>
                <w:rFonts w:ascii="Times New Roman" w:hAnsi="Times New Roman" w:cs="Times New Roman"/>
                <w:i/>
              </w:rPr>
              <w:t xml:space="preserve">» </w:t>
            </w:r>
            <w:r w:rsidRPr="00BD7111">
              <w:rPr>
                <w:rFonts w:ascii="Times New Roman" w:hAnsi="Times New Roman" w:cs="Times New Roman"/>
                <w:i/>
              </w:rPr>
              <w:t>от 24.12.2021</w:t>
            </w:r>
            <w:r>
              <w:rPr>
                <w:rFonts w:ascii="Times New Roman" w:hAnsi="Times New Roman" w:cs="Times New Roman"/>
                <w:i/>
              </w:rPr>
              <w:t xml:space="preserve"> г., однако, данный документ вносил изменения лишь в преамбулу и в </w:t>
            </w:r>
            <w:proofErr w:type="spellStart"/>
            <w:r>
              <w:rPr>
                <w:rFonts w:ascii="Times New Roman" w:hAnsi="Times New Roman" w:cs="Times New Roman"/>
                <w:i/>
              </w:rPr>
              <w:t>пп</w:t>
            </w:r>
            <w:proofErr w:type="spellEnd"/>
            <w:r>
              <w:rPr>
                <w:rFonts w:ascii="Times New Roman" w:hAnsi="Times New Roman" w:cs="Times New Roman"/>
                <w:i/>
              </w:rPr>
              <w:t xml:space="preserve">. «б» п. 5 Правил в части замены текста «2016 г.» на «2022 г.», не внося существенных изменений непосредственно в текст Правил </w:t>
            </w:r>
            <w:r w:rsidRPr="00BD7111">
              <w:rPr>
                <w:rFonts w:ascii="Times New Roman" w:hAnsi="Times New Roman" w:cs="Times New Roman"/>
                <w:i/>
              </w:rPr>
              <w:t>проведения клинических и клинико-лабораторных испытаний (исследований) медицинских изделий</w:t>
            </w:r>
            <w:r>
              <w:rPr>
                <w:rFonts w:ascii="Times New Roman" w:hAnsi="Times New Roman" w:cs="Times New Roman"/>
                <w:i/>
              </w:rPr>
              <w:t xml:space="preserve">. </w:t>
            </w:r>
          </w:p>
        </w:tc>
      </w:tr>
    </w:tbl>
    <w:p w14:paraId="0B53625B" w14:textId="77777777" w:rsidR="007156F9" w:rsidRDefault="007156F9" w:rsidP="00817BE8">
      <w:pPr>
        <w:jc w:val="both"/>
        <w:rPr>
          <w:rFonts w:ascii="Times New Roman" w:hAnsi="Times New Roman" w:cs="Times New Roman"/>
        </w:rPr>
      </w:pPr>
    </w:p>
    <w:p w14:paraId="18F0FC73" w14:textId="77777777" w:rsidR="00BD7111" w:rsidRPr="00D86268" w:rsidRDefault="00BD7111" w:rsidP="00817BE8">
      <w:pPr>
        <w:jc w:val="both"/>
        <w:rPr>
          <w:rFonts w:ascii="Times New Roman" w:hAnsi="Times New Roman" w:cs="Times New Roman"/>
          <w:sz w:val="24"/>
          <w:szCs w:val="24"/>
        </w:rPr>
      </w:pPr>
      <w:r>
        <w:rPr>
          <w:rFonts w:ascii="Times New Roman" w:hAnsi="Times New Roman" w:cs="Times New Roman"/>
        </w:rPr>
        <w:tab/>
      </w:r>
      <w:r w:rsidRPr="00D86268">
        <w:rPr>
          <w:rFonts w:ascii="Times New Roman" w:hAnsi="Times New Roman" w:cs="Times New Roman"/>
          <w:sz w:val="24"/>
          <w:szCs w:val="24"/>
        </w:rPr>
        <w:t xml:space="preserve">Как видно из Таблицы №2, как правило, темпы совершенствования основополагающих документов ЕАЭС составляют не менее 5 лет, и лишь в одном случае (Требования к внедрению, поддержанию и оценке системы менеджмента качества медицинских изделий в зависимости от потенциального риска их применения) этот срок составил чуть менее 4 лет (около 3 лет и 9 месяцев). Отсюда следует, что </w:t>
      </w:r>
      <w:r w:rsidR="000D72D8" w:rsidRPr="00D86268">
        <w:rPr>
          <w:rFonts w:ascii="Times New Roman" w:hAnsi="Times New Roman" w:cs="Times New Roman"/>
          <w:sz w:val="24"/>
          <w:szCs w:val="24"/>
        </w:rPr>
        <w:t>в случае возникновения сложностей в практической реализации усовершенствованных документов процедуры ЕАЭС, срок их доработки может составить длительный период. Из опыта данных совершенствований следует, что данный период может составить от 3,5 до 5 лет.</w:t>
      </w:r>
    </w:p>
    <w:p w14:paraId="6D89520E" w14:textId="77777777" w:rsidR="00FE6A5D" w:rsidRPr="00D86268" w:rsidRDefault="000D72D8" w:rsidP="00DE1B1E">
      <w:pPr>
        <w:jc w:val="both"/>
        <w:rPr>
          <w:rFonts w:ascii="Times New Roman" w:hAnsi="Times New Roman" w:cs="Times New Roman"/>
          <w:b/>
          <w:sz w:val="24"/>
          <w:szCs w:val="24"/>
        </w:rPr>
      </w:pPr>
      <w:r w:rsidRPr="00D86268">
        <w:rPr>
          <w:rFonts w:ascii="Times New Roman" w:hAnsi="Times New Roman" w:cs="Times New Roman"/>
          <w:sz w:val="24"/>
          <w:szCs w:val="24"/>
        </w:rPr>
        <w:lastRenderedPageBreak/>
        <w:tab/>
      </w:r>
      <w:r w:rsidRPr="00D86268">
        <w:rPr>
          <w:rFonts w:ascii="Times New Roman" w:hAnsi="Times New Roman" w:cs="Times New Roman"/>
          <w:b/>
          <w:sz w:val="24"/>
          <w:szCs w:val="24"/>
        </w:rPr>
        <w:t>Мы считаем крайне опасным для отрасли потенциальный риск остановки возможности появления на рынке новых медицинских изделий на такой длительный срок, как 3,5-5 лет.</w:t>
      </w:r>
      <w:r w:rsidR="00FE6A5D" w:rsidRPr="00D86268">
        <w:rPr>
          <w:rFonts w:ascii="Times New Roman" w:hAnsi="Times New Roman" w:cs="Times New Roman"/>
          <w:b/>
          <w:sz w:val="24"/>
          <w:szCs w:val="24"/>
        </w:rPr>
        <w:t xml:space="preserve"> Говорить о единственности процедуры ЕАЭС </w:t>
      </w:r>
      <w:r w:rsidR="00321CFE" w:rsidRPr="00D86268">
        <w:rPr>
          <w:rFonts w:ascii="Times New Roman" w:hAnsi="Times New Roman" w:cs="Times New Roman"/>
          <w:b/>
          <w:sz w:val="24"/>
          <w:szCs w:val="24"/>
        </w:rPr>
        <w:t>допустимо</w:t>
      </w:r>
      <w:r w:rsidR="00FE6A5D" w:rsidRPr="00D86268">
        <w:rPr>
          <w:rFonts w:ascii="Times New Roman" w:hAnsi="Times New Roman" w:cs="Times New Roman"/>
          <w:b/>
          <w:sz w:val="24"/>
          <w:szCs w:val="24"/>
        </w:rPr>
        <w:t xml:space="preserve"> только тогда, когда она покажет свою практическую реализуемость. </w:t>
      </w:r>
    </w:p>
    <w:p w14:paraId="481DC684" w14:textId="77777777" w:rsidR="00AE2B29" w:rsidRPr="00D86268" w:rsidRDefault="00FE6A5D" w:rsidP="00DE1B1E">
      <w:pPr>
        <w:ind w:firstLine="708"/>
        <w:jc w:val="both"/>
        <w:rPr>
          <w:rFonts w:ascii="Times New Roman" w:hAnsi="Times New Roman" w:cs="Times New Roman"/>
          <w:sz w:val="24"/>
          <w:szCs w:val="24"/>
        </w:rPr>
      </w:pPr>
      <w:r w:rsidRPr="00D86268">
        <w:rPr>
          <w:rFonts w:ascii="Times New Roman" w:hAnsi="Times New Roman" w:cs="Times New Roman"/>
          <w:sz w:val="24"/>
          <w:szCs w:val="24"/>
        </w:rPr>
        <w:t xml:space="preserve">Критерием такой реализуемости мы считаем не менее 1000 (одной тысячи) полученных регистрационных удостоверений по процедуре ЕАЭС. </w:t>
      </w:r>
    </w:p>
    <w:p w14:paraId="3955914B" w14:textId="77777777" w:rsidR="00AE2B29" w:rsidRPr="00D86268" w:rsidRDefault="00FE6A5D" w:rsidP="00DE1B1E">
      <w:pPr>
        <w:ind w:firstLine="708"/>
        <w:jc w:val="both"/>
        <w:rPr>
          <w:rFonts w:ascii="Times New Roman" w:hAnsi="Times New Roman" w:cs="Times New Roman"/>
          <w:sz w:val="24"/>
          <w:szCs w:val="24"/>
        </w:rPr>
      </w:pPr>
      <w:r w:rsidRPr="00D86268">
        <w:rPr>
          <w:rFonts w:ascii="Times New Roman" w:hAnsi="Times New Roman" w:cs="Times New Roman"/>
          <w:sz w:val="24"/>
          <w:szCs w:val="24"/>
        </w:rPr>
        <w:t>Из них</w:t>
      </w:r>
      <w:r w:rsidR="00AE2B29" w:rsidRPr="00D86268">
        <w:rPr>
          <w:rFonts w:ascii="Times New Roman" w:hAnsi="Times New Roman" w:cs="Times New Roman"/>
          <w:sz w:val="24"/>
          <w:szCs w:val="24"/>
        </w:rPr>
        <w:t>:</w:t>
      </w:r>
    </w:p>
    <w:p w14:paraId="22B3ADD5" w14:textId="77777777" w:rsidR="000D72D8" w:rsidRPr="00D86268" w:rsidRDefault="00AE2B29" w:rsidP="00DE1B1E">
      <w:pPr>
        <w:ind w:firstLine="708"/>
        <w:jc w:val="both"/>
        <w:rPr>
          <w:rFonts w:ascii="Times New Roman" w:hAnsi="Times New Roman" w:cs="Times New Roman"/>
          <w:sz w:val="24"/>
          <w:szCs w:val="24"/>
        </w:rPr>
      </w:pPr>
      <w:r w:rsidRPr="00D86268">
        <w:rPr>
          <w:rFonts w:ascii="Times New Roman" w:hAnsi="Times New Roman" w:cs="Times New Roman"/>
          <w:sz w:val="24"/>
          <w:szCs w:val="24"/>
        </w:rPr>
        <w:t xml:space="preserve"> -</w:t>
      </w:r>
      <w:r w:rsidR="00FE6A5D" w:rsidRPr="00D86268">
        <w:rPr>
          <w:rFonts w:ascii="Times New Roman" w:hAnsi="Times New Roman" w:cs="Times New Roman"/>
          <w:sz w:val="24"/>
          <w:szCs w:val="24"/>
        </w:rPr>
        <w:t xml:space="preserve"> не менее 30%, т.е. 300 (трехсот) регистрационных удостоверений должны составлять медицинские изделия классов потенциального риска </w:t>
      </w:r>
      <w:r w:rsidRPr="00D86268">
        <w:rPr>
          <w:rFonts w:ascii="Times New Roman" w:hAnsi="Times New Roman" w:cs="Times New Roman"/>
          <w:sz w:val="24"/>
          <w:szCs w:val="24"/>
        </w:rPr>
        <w:t xml:space="preserve">применения </w:t>
      </w:r>
      <w:r w:rsidR="00FE6A5D" w:rsidRPr="00D86268">
        <w:rPr>
          <w:rFonts w:ascii="Times New Roman" w:hAnsi="Times New Roman" w:cs="Times New Roman"/>
          <w:sz w:val="24"/>
          <w:szCs w:val="24"/>
        </w:rPr>
        <w:t>2б и 3</w:t>
      </w:r>
      <w:r w:rsidRPr="00D86268">
        <w:rPr>
          <w:rFonts w:ascii="Times New Roman" w:hAnsi="Times New Roman" w:cs="Times New Roman"/>
          <w:sz w:val="24"/>
          <w:szCs w:val="24"/>
        </w:rPr>
        <w:t xml:space="preserve"> (кроме медицинских изделий для диагностики </w:t>
      </w:r>
      <w:r w:rsidRPr="00D86268">
        <w:rPr>
          <w:rFonts w:ascii="Times New Roman" w:hAnsi="Times New Roman" w:cs="Times New Roman"/>
          <w:sz w:val="24"/>
          <w:szCs w:val="24"/>
          <w:lang w:val="en-US"/>
        </w:rPr>
        <w:t>in</w:t>
      </w:r>
      <w:r w:rsidRPr="00D86268">
        <w:rPr>
          <w:rFonts w:ascii="Times New Roman" w:hAnsi="Times New Roman" w:cs="Times New Roman"/>
          <w:sz w:val="24"/>
          <w:szCs w:val="24"/>
        </w:rPr>
        <w:t xml:space="preserve"> </w:t>
      </w:r>
      <w:r w:rsidRPr="00D86268">
        <w:rPr>
          <w:rFonts w:ascii="Times New Roman" w:hAnsi="Times New Roman" w:cs="Times New Roman"/>
          <w:sz w:val="24"/>
          <w:szCs w:val="24"/>
          <w:lang w:val="en-US"/>
        </w:rPr>
        <w:t>vitro</w:t>
      </w:r>
      <w:r w:rsidRPr="00D86268">
        <w:rPr>
          <w:rFonts w:ascii="Times New Roman" w:hAnsi="Times New Roman" w:cs="Times New Roman"/>
          <w:sz w:val="24"/>
          <w:szCs w:val="24"/>
        </w:rPr>
        <w:t>)</w:t>
      </w:r>
      <w:r w:rsidR="00FE6A5D" w:rsidRPr="00D86268">
        <w:rPr>
          <w:rFonts w:ascii="Times New Roman" w:hAnsi="Times New Roman" w:cs="Times New Roman"/>
          <w:sz w:val="24"/>
          <w:szCs w:val="24"/>
        </w:rPr>
        <w:t>, для которых требуются такие дополнительные процессы, как проведение клинических испытаний с участием человека и инспектирование производства</w:t>
      </w:r>
      <w:r w:rsidRPr="00D86268">
        <w:rPr>
          <w:rFonts w:ascii="Times New Roman" w:hAnsi="Times New Roman" w:cs="Times New Roman"/>
          <w:sz w:val="24"/>
          <w:szCs w:val="24"/>
        </w:rPr>
        <w:t>;</w:t>
      </w:r>
    </w:p>
    <w:p w14:paraId="62209812" w14:textId="77777777" w:rsidR="00AE2B29" w:rsidRPr="00D86268" w:rsidRDefault="00AE2B29" w:rsidP="00DE1B1E">
      <w:pPr>
        <w:ind w:firstLine="708"/>
        <w:jc w:val="both"/>
        <w:rPr>
          <w:rFonts w:ascii="Times New Roman" w:hAnsi="Times New Roman" w:cs="Times New Roman"/>
          <w:sz w:val="24"/>
          <w:szCs w:val="24"/>
        </w:rPr>
      </w:pPr>
      <w:r w:rsidRPr="00D86268">
        <w:rPr>
          <w:rFonts w:ascii="Times New Roman" w:hAnsi="Times New Roman" w:cs="Times New Roman"/>
          <w:sz w:val="24"/>
          <w:szCs w:val="24"/>
        </w:rPr>
        <w:t xml:space="preserve"> - не менее 15%, т.е. 150 (ста пятидесяти) регистрационных удостоверений должны составлять медицинские изделия для диагностики </w:t>
      </w:r>
      <w:r w:rsidRPr="00D86268">
        <w:rPr>
          <w:rFonts w:ascii="Times New Roman" w:hAnsi="Times New Roman" w:cs="Times New Roman"/>
          <w:sz w:val="24"/>
          <w:szCs w:val="24"/>
          <w:lang w:val="en-US"/>
        </w:rPr>
        <w:t>in</w:t>
      </w:r>
      <w:r w:rsidRPr="00D86268">
        <w:rPr>
          <w:rFonts w:ascii="Times New Roman" w:hAnsi="Times New Roman" w:cs="Times New Roman"/>
          <w:sz w:val="24"/>
          <w:szCs w:val="24"/>
        </w:rPr>
        <w:t xml:space="preserve"> </w:t>
      </w:r>
      <w:r w:rsidRPr="00D86268">
        <w:rPr>
          <w:rFonts w:ascii="Times New Roman" w:hAnsi="Times New Roman" w:cs="Times New Roman"/>
          <w:sz w:val="24"/>
          <w:szCs w:val="24"/>
          <w:lang w:val="en-US"/>
        </w:rPr>
        <w:t>vitro</w:t>
      </w:r>
      <w:r w:rsidRPr="00D86268">
        <w:rPr>
          <w:rFonts w:ascii="Times New Roman" w:hAnsi="Times New Roman" w:cs="Times New Roman"/>
          <w:sz w:val="24"/>
          <w:szCs w:val="24"/>
        </w:rPr>
        <w:t>, для которых вместо клинических испытаний проводятся клинико-лабораторные испытания (на остаточном биологическом материале пациентов);</w:t>
      </w:r>
    </w:p>
    <w:p w14:paraId="1776E6A0" w14:textId="77777777" w:rsidR="00FE6A5D" w:rsidRPr="00D86268" w:rsidRDefault="00FE6A5D" w:rsidP="00DE1B1E">
      <w:pPr>
        <w:jc w:val="both"/>
        <w:rPr>
          <w:rFonts w:ascii="Times New Roman" w:hAnsi="Times New Roman" w:cs="Times New Roman"/>
          <w:sz w:val="24"/>
          <w:szCs w:val="24"/>
        </w:rPr>
      </w:pPr>
      <w:r w:rsidRPr="00D86268">
        <w:rPr>
          <w:rFonts w:ascii="Times New Roman" w:hAnsi="Times New Roman" w:cs="Times New Roman"/>
          <w:sz w:val="24"/>
          <w:szCs w:val="24"/>
        </w:rPr>
        <w:tab/>
        <w:t>До этого момента мы считаем правильным возможность одновременного применения национальной процедуры РФ и процедуры ЕАЭС, на выбор заявителя, что предусмотрено в рамках переходного период</w:t>
      </w:r>
      <w:r w:rsidR="00AE2B29" w:rsidRPr="00D86268">
        <w:rPr>
          <w:rFonts w:ascii="Times New Roman" w:hAnsi="Times New Roman" w:cs="Times New Roman"/>
          <w:sz w:val="24"/>
          <w:szCs w:val="24"/>
        </w:rPr>
        <w:t>а</w:t>
      </w:r>
      <w:r w:rsidRPr="00D86268">
        <w:rPr>
          <w:rFonts w:ascii="Times New Roman" w:hAnsi="Times New Roman" w:cs="Times New Roman"/>
          <w:sz w:val="24"/>
          <w:szCs w:val="24"/>
        </w:rPr>
        <w:t>.</w:t>
      </w:r>
    </w:p>
    <w:p w14:paraId="477A33CF" w14:textId="77777777" w:rsidR="00321CFE" w:rsidRPr="00D86268" w:rsidRDefault="00FE6A5D" w:rsidP="00DE1B1E">
      <w:pPr>
        <w:jc w:val="both"/>
        <w:rPr>
          <w:rFonts w:ascii="Times New Roman" w:hAnsi="Times New Roman" w:cs="Times New Roman"/>
          <w:sz w:val="24"/>
          <w:szCs w:val="24"/>
        </w:rPr>
      </w:pPr>
      <w:r w:rsidRPr="00D86268">
        <w:rPr>
          <w:rFonts w:ascii="Times New Roman" w:hAnsi="Times New Roman" w:cs="Times New Roman"/>
          <w:sz w:val="24"/>
          <w:szCs w:val="24"/>
        </w:rPr>
        <w:t>В связи с изложенным</w:t>
      </w:r>
      <w:r w:rsidR="00321CFE" w:rsidRPr="00D86268">
        <w:rPr>
          <w:rFonts w:ascii="Times New Roman" w:hAnsi="Times New Roman" w:cs="Times New Roman"/>
          <w:sz w:val="24"/>
          <w:szCs w:val="24"/>
        </w:rPr>
        <w:t>,</w:t>
      </w:r>
      <w:r w:rsidRPr="00D86268">
        <w:rPr>
          <w:rFonts w:ascii="Times New Roman" w:hAnsi="Times New Roman" w:cs="Times New Roman"/>
          <w:sz w:val="24"/>
          <w:szCs w:val="24"/>
        </w:rPr>
        <w:t xml:space="preserve"> мы предлагаем</w:t>
      </w:r>
      <w:r w:rsidR="00321CFE" w:rsidRPr="00D86268">
        <w:rPr>
          <w:rFonts w:ascii="Times New Roman" w:hAnsi="Times New Roman" w:cs="Times New Roman"/>
          <w:sz w:val="24"/>
          <w:szCs w:val="24"/>
        </w:rPr>
        <w:t>:</w:t>
      </w:r>
    </w:p>
    <w:p w14:paraId="36226211" w14:textId="63BCF2A1" w:rsidR="00AE2B29" w:rsidRPr="00D86268" w:rsidRDefault="00321CFE" w:rsidP="00DE1B1E">
      <w:pPr>
        <w:jc w:val="both"/>
        <w:rPr>
          <w:rFonts w:ascii="Times New Roman" w:hAnsi="Times New Roman" w:cs="Times New Roman"/>
          <w:sz w:val="24"/>
          <w:szCs w:val="24"/>
        </w:rPr>
      </w:pPr>
      <w:r w:rsidRPr="00D86268">
        <w:rPr>
          <w:rFonts w:ascii="Times New Roman" w:hAnsi="Times New Roman" w:cs="Times New Roman"/>
          <w:sz w:val="24"/>
          <w:szCs w:val="24"/>
        </w:rPr>
        <w:t>П</w:t>
      </w:r>
      <w:r w:rsidR="00FE6A5D" w:rsidRPr="00D86268">
        <w:rPr>
          <w:rFonts w:ascii="Times New Roman" w:hAnsi="Times New Roman" w:cs="Times New Roman"/>
          <w:sz w:val="24"/>
          <w:szCs w:val="24"/>
        </w:rPr>
        <w:t xml:space="preserve">ринять необходимые </w:t>
      </w:r>
      <w:r w:rsidR="00AE2B29" w:rsidRPr="00D86268">
        <w:rPr>
          <w:rFonts w:ascii="Times New Roman" w:hAnsi="Times New Roman" w:cs="Times New Roman"/>
          <w:sz w:val="24"/>
          <w:szCs w:val="24"/>
        </w:rPr>
        <w:t>меры для продления переходного периода на срок до 31 декабря 2027 года с перспективой его продления еще на 5 лет в случае несоблюдения по истечени</w:t>
      </w:r>
      <w:r w:rsidR="00060CD2" w:rsidRPr="00D86268">
        <w:rPr>
          <w:rFonts w:ascii="Times New Roman" w:hAnsi="Times New Roman" w:cs="Times New Roman"/>
          <w:color w:val="000000" w:themeColor="text1"/>
          <w:sz w:val="24"/>
          <w:szCs w:val="24"/>
        </w:rPr>
        <w:t>и</w:t>
      </w:r>
      <w:r w:rsidR="00AE2B29" w:rsidRPr="00D86268">
        <w:rPr>
          <w:rFonts w:ascii="Times New Roman" w:hAnsi="Times New Roman" w:cs="Times New Roman"/>
          <w:color w:val="000000" w:themeColor="text1"/>
          <w:sz w:val="24"/>
          <w:szCs w:val="24"/>
        </w:rPr>
        <w:t xml:space="preserve"> </w:t>
      </w:r>
      <w:r w:rsidR="00AE2B29" w:rsidRPr="00D86268">
        <w:rPr>
          <w:rFonts w:ascii="Times New Roman" w:hAnsi="Times New Roman" w:cs="Times New Roman"/>
          <w:sz w:val="24"/>
          <w:szCs w:val="24"/>
          <w:lang w:val="en-US"/>
        </w:rPr>
        <w:t>I</w:t>
      </w:r>
      <w:r w:rsidR="00AE2B29" w:rsidRPr="00D86268">
        <w:rPr>
          <w:rFonts w:ascii="Times New Roman" w:hAnsi="Times New Roman" w:cs="Times New Roman"/>
          <w:sz w:val="24"/>
          <w:szCs w:val="24"/>
        </w:rPr>
        <w:t xml:space="preserve"> квартала 2027 г. следующих критериев одновременно:</w:t>
      </w:r>
    </w:p>
    <w:p w14:paraId="60190628" w14:textId="77777777" w:rsidR="00AE2B29" w:rsidRPr="00D86268" w:rsidRDefault="00AE2B29" w:rsidP="00DE1B1E">
      <w:pPr>
        <w:pStyle w:val="af3"/>
        <w:numPr>
          <w:ilvl w:val="0"/>
          <w:numId w:val="2"/>
        </w:numPr>
        <w:jc w:val="both"/>
        <w:rPr>
          <w:rFonts w:ascii="Times New Roman" w:hAnsi="Times New Roman" w:cs="Times New Roman"/>
          <w:sz w:val="24"/>
          <w:szCs w:val="24"/>
        </w:rPr>
      </w:pPr>
      <w:r w:rsidRPr="00D86268">
        <w:rPr>
          <w:rFonts w:ascii="Times New Roman" w:hAnsi="Times New Roman" w:cs="Times New Roman"/>
          <w:sz w:val="24"/>
          <w:szCs w:val="24"/>
        </w:rPr>
        <w:t>не менее 1000 (одной тысячи) медицинских изделий, зарегистрированных по процедуре ЕАЭС</w:t>
      </w:r>
      <w:r w:rsidR="00321CFE" w:rsidRPr="00D86268">
        <w:rPr>
          <w:rFonts w:ascii="Times New Roman" w:hAnsi="Times New Roman" w:cs="Times New Roman"/>
          <w:sz w:val="24"/>
          <w:szCs w:val="24"/>
        </w:rPr>
        <w:t>;</w:t>
      </w:r>
    </w:p>
    <w:p w14:paraId="3B0E2085" w14:textId="77777777" w:rsidR="00121402" w:rsidRPr="00D86268" w:rsidRDefault="00AE2B29" w:rsidP="00DE1B1E">
      <w:pPr>
        <w:pStyle w:val="af3"/>
        <w:numPr>
          <w:ilvl w:val="0"/>
          <w:numId w:val="2"/>
        </w:numPr>
        <w:jc w:val="both"/>
        <w:rPr>
          <w:rFonts w:ascii="Times New Roman" w:hAnsi="Times New Roman" w:cs="Times New Roman"/>
          <w:sz w:val="24"/>
          <w:szCs w:val="24"/>
        </w:rPr>
      </w:pPr>
      <w:r w:rsidRPr="00D86268">
        <w:rPr>
          <w:rFonts w:ascii="Times New Roman" w:hAnsi="Times New Roman" w:cs="Times New Roman"/>
          <w:sz w:val="24"/>
          <w:szCs w:val="24"/>
        </w:rPr>
        <w:t xml:space="preserve">не менее 300 (трехсот) медицинских изделий классов потенциального риска применения 2б и 3 (кроме медицинских изделий для диагностики </w:t>
      </w:r>
      <w:r w:rsidRPr="00D86268">
        <w:rPr>
          <w:rFonts w:ascii="Times New Roman" w:hAnsi="Times New Roman" w:cs="Times New Roman"/>
          <w:sz w:val="24"/>
          <w:szCs w:val="24"/>
          <w:lang w:val="en-US"/>
        </w:rPr>
        <w:t>in</w:t>
      </w:r>
      <w:r w:rsidRPr="00D86268">
        <w:rPr>
          <w:rFonts w:ascii="Times New Roman" w:hAnsi="Times New Roman" w:cs="Times New Roman"/>
          <w:sz w:val="24"/>
          <w:szCs w:val="24"/>
        </w:rPr>
        <w:t xml:space="preserve"> </w:t>
      </w:r>
      <w:r w:rsidRPr="00D86268">
        <w:rPr>
          <w:rFonts w:ascii="Times New Roman" w:hAnsi="Times New Roman" w:cs="Times New Roman"/>
          <w:sz w:val="24"/>
          <w:szCs w:val="24"/>
          <w:lang w:val="en-US"/>
        </w:rPr>
        <w:t>vitro</w:t>
      </w:r>
      <w:r w:rsidRPr="00D86268">
        <w:rPr>
          <w:rFonts w:ascii="Times New Roman" w:hAnsi="Times New Roman" w:cs="Times New Roman"/>
          <w:sz w:val="24"/>
          <w:szCs w:val="24"/>
        </w:rPr>
        <w:t>), зарегистрированных по процедуре ЕАЭС</w:t>
      </w:r>
      <w:r w:rsidR="00321CFE" w:rsidRPr="00D86268">
        <w:rPr>
          <w:rFonts w:ascii="Times New Roman" w:hAnsi="Times New Roman" w:cs="Times New Roman"/>
          <w:sz w:val="24"/>
          <w:szCs w:val="24"/>
        </w:rPr>
        <w:t>;</w:t>
      </w:r>
    </w:p>
    <w:p w14:paraId="28026F0D" w14:textId="08CF1EBE" w:rsidR="00321CFE" w:rsidRPr="00D86268" w:rsidRDefault="00321CFE" w:rsidP="00DE1B1E">
      <w:pPr>
        <w:pStyle w:val="af3"/>
        <w:numPr>
          <w:ilvl w:val="0"/>
          <w:numId w:val="2"/>
        </w:numPr>
        <w:jc w:val="both"/>
        <w:rPr>
          <w:rFonts w:ascii="Times New Roman" w:hAnsi="Times New Roman" w:cs="Times New Roman"/>
          <w:sz w:val="24"/>
          <w:szCs w:val="24"/>
        </w:rPr>
      </w:pPr>
      <w:r w:rsidRPr="00D86268">
        <w:rPr>
          <w:rFonts w:ascii="Times New Roman" w:hAnsi="Times New Roman" w:cs="Times New Roman"/>
          <w:sz w:val="24"/>
          <w:szCs w:val="24"/>
        </w:rPr>
        <w:t xml:space="preserve">не менее 150 (ста пятидесяти) медицинских изделий для диагностики </w:t>
      </w:r>
      <w:r w:rsidRPr="00D86268">
        <w:rPr>
          <w:rFonts w:ascii="Times New Roman" w:hAnsi="Times New Roman" w:cs="Times New Roman"/>
          <w:sz w:val="24"/>
          <w:szCs w:val="24"/>
          <w:lang w:val="en-US"/>
        </w:rPr>
        <w:t>in</w:t>
      </w:r>
      <w:r w:rsidRPr="00D86268">
        <w:rPr>
          <w:rFonts w:ascii="Times New Roman" w:hAnsi="Times New Roman" w:cs="Times New Roman"/>
          <w:sz w:val="24"/>
          <w:szCs w:val="24"/>
        </w:rPr>
        <w:t xml:space="preserve"> </w:t>
      </w:r>
      <w:r w:rsidRPr="00D86268">
        <w:rPr>
          <w:rFonts w:ascii="Times New Roman" w:hAnsi="Times New Roman" w:cs="Times New Roman"/>
          <w:sz w:val="24"/>
          <w:szCs w:val="24"/>
          <w:lang w:val="en-US"/>
        </w:rPr>
        <w:t>vitro</w:t>
      </w:r>
      <w:r w:rsidRPr="00D86268">
        <w:rPr>
          <w:rFonts w:ascii="Times New Roman" w:hAnsi="Times New Roman" w:cs="Times New Roman"/>
          <w:sz w:val="24"/>
          <w:szCs w:val="24"/>
        </w:rPr>
        <w:t>), зарегистрированных по процедуре ЕАЭС</w:t>
      </w:r>
      <w:r w:rsidR="00DE1B1E" w:rsidRPr="00D86268">
        <w:rPr>
          <w:rFonts w:ascii="Times New Roman" w:hAnsi="Times New Roman" w:cs="Times New Roman"/>
          <w:sz w:val="24"/>
          <w:szCs w:val="24"/>
        </w:rPr>
        <w:t>;</w:t>
      </w:r>
    </w:p>
    <w:sectPr w:rsidR="00321CFE" w:rsidRPr="00D86268">
      <w:footerReference w:type="default" r:id="rId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0266" w16cex:dateUtc="2022-04-15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0972A" w16cid:durableId="260402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EBFF" w14:textId="77777777" w:rsidR="00EF178E" w:rsidRDefault="00EF178E" w:rsidP="008805CE">
      <w:pPr>
        <w:spacing w:after="0" w:line="240" w:lineRule="auto"/>
      </w:pPr>
      <w:r>
        <w:separator/>
      </w:r>
    </w:p>
  </w:endnote>
  <w:endnote w:type="continuationSeparator" w:id="0">
    <w:p w14:paraId="1C54244A" w14:textId="77777777" w:rsidR="00EF178E" w:rsidRDefault="00EF178E" w:rsidP="0088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669884"/>
      <w:docPartObj>
        <w:docPartGallery w:val="Page Numbers (Bottom of Page)"/>
        <w:docPartUnique/>
      </w:docPartObj>
    </w:sdtPr>
    <w:sdtEndPr/>
    <w:sdtContent>
      <w:p w14:paraId="7431B131" w14:textId="4F2017AC" w:rsidR="009A100A" w:rsidRDefault="009A100A">
        <w:pPr>
          <w:pStyle w:val="af1"/>
          <w:jc w:val="center"/>
        </w:pPr>
        <w:r>
          <w:fldChar w:fldCharType="begin"/>
        </w:r>
        <w:r>
          <w:instrText>PAGE   \* MERGEFORMAT</w:instrText>
        </w:r>
        <w:r>
          <w:fldChar w:fldCharType="separate"/>
        </w:r>
        <w:r w:rsidR="006C46A0">
          <w:rPr>
            <w:noProof/>
          </w:rPr>
          <w:t>11</w:t>
        </w:r>
        <w:r>
          <w:fldChar w:fldCharType="end"/>
        </w:r>
      </w:p>
    </w:sdtContent>
  </w:sdt>
  <w:p w14:paraId="3167A827" w14:textId="77777777" w:rsidR="009A100A" w:rsidRDefault="009A100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F032" w14:textId="77777777" w:rsidR="00EF178E" w:rsidRDefault="00EF178E" w:rsidP="008805CE">
      <w:pPr>
        <w:spacing w:after="0" w:line="240" w:lineRule="auto"/>
      </w:pPr>
      <w:r>
        <w:separator/>
      </w:r>
    </w:p>
  </w:footnote>
  <w:footnote w:type="continuationSeparator" w:id="0">
    <w:p w14:paraId="02CA8CB2" w14:textId="77777777" w:rsidR="00EF178E" w:rsidRDefault="00EF178E" w:rsidP="008805CE">
      <w:pPr>
        <w:spacing w:after="0" w:line="240" w:lineRule="auto"/>
      </w:pPr>
      <w:r>
        <w:continuationSeparator/>
      </w:r>
    </w:p>
  </w:footnote>
  <w:footnote w:id="1">
    <w:p w14:paraId="4ABACF07" w14:textId="77777777" w:rsidR="008805CE" w:rsidRPr="00D86268" w:rsidRDefault="008805CE">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Решение №46 Совета ЕЭК «О Правилах регистрации и экспертизы безопасности, качества и эффективности медицинских изделий» от 12.02.2016 г.</w:t>
      </w:r>
    </w:p>
  </w:footnote>
  <w:footnote w:id="2">
    <w:p w14:paraId="7BA51136" w14:textId="77777777" w:rsidR="00121402" w:rsidRPr="00D86268" w:rsidRDefault="00121402" w:rsidP="00121402">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w:t>
      </w:r>
      <w:hyperlink r:id="rId1" w:history="1">
        <w:r w:rsidRPr="00D86268">
          <w:rPr>
            <w:rStyle w:val="a6"/>
            <w:rFonts w:ascii="Times New Roman" w:hAnsi="Times New Roman" w:cs="Times New Roman"/>
          </w:rPr>
          <w:t>https://portal.eaeunion.org/sites/odata/_layouts/15/Registry/PMM06/TableView.aspx</w:t>
        </w:r>
      </w:hyperlink>
      <w:r w:rsidRPr="00D86268">
        <w:rPr>
          <w:rFonts w:ascii="Times New Roman" w:hAnsi="Times New Roman" w:cs="Times New Roman"/>
        </w:rPr>
        <w:t xml:space="preserve"> - Единый реестр медицинских изделий, зарегистрированных в рамках ЕАЭС. Портал общих информационных</w:t>
      </w:r>
    </w:p>
    <w:p w14:paraId="06924460" w14:textId="77777777" w:rsidR="00121402" w:rsidRPr="00D86268" w:rsidRDefault="00121402" w:rsidP="00121402">
      <w:pPr>
        <w:pStyle w:val="a3"/>
        <w:rPr>
          <w:rFonts w:ascii="Times New Roman" w:hAnsi="Times New Roman" w:cs="Times New Roman"/>
        </w:rPr>
      </w:pPr>
      <w:r w:rsidRPr="00D86268">
        <w:rPr>
          <w:rFonts w:ascii="Times New Roman" w:hAnsi="Times New Roman" w:cs="Times New Roman"/>
        </w:rPr>
        <w:t>ресурсов и открытых данных Евразийского Экономического Союза</w:t>
      </w:r>
    </w:p>
  </w:footnote>
  <w:footnote w:id="3">
    <w:p w14:paraId="3455BED0" w14:textId="77777777" w:rsidR="00A90ABE" w:rsidRDefault="00A90ABE">
      <w:pPr>
        <w:pStyle w:val="a3"/>
      </w:pPr>
      <w:r w:rsidRPr="00D86268">
        <w:rPr>
          <w:rStyle w:val="a5"/>
          <w:rFonts w:ascii="Times New Roman" w:hAnsi="Times New Roman" w:cs="Times New Roman"/>
        </w:rPr>
        <w:footnoteRef/>
      </w:r>
      <w:r w:rsidRPr="00D86268">
        <w:rPr>
          <w:rFonts w:ascii="Times New Roman" w:hAnsi="Times New Roman" w:cs="Times New Roman"/>
        </w:rPr>
        <w:t xml:space="preserve"> - Правила государственной регистрации медицинских изделий, утвержденные Постановлением Правительства РФ от 27.12.2012 №1416 «Об утверждении Правил государственной регистрации медицинских изделий»</w:t>
      </w:r>
    </w:p>
  </w:footnote>
  <w:footnote w:id="4">
    <w:p w14:paraId="58860448" w14:textId="77777777" w:rsidR="009D768B" w:rsidRPr="00D86268" w:rsidRDefault="009D768B">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w:t>
      </w:r>
      <w:hyperlink r:id="rId2" w:history="1">
        <w:r w:rsidRPr="00D86268">
          <w:rPr>
            <w:rStyle w:val="a6"/>
            <w:rFonts w:ascii="Times New Roman" w:hAnsi="Times New Roman" w:cs="Times New Roman"/>
          </w:rPr>
          <w:t>https://roszdravnadzor.gov.ru/services/misearch</w:t>
        </w:r>
      </w:hyperlink>
      <w:r w:rsidRPr="00D86268">
        <w:rPr>
          <w:rFonts w:ascii="Times New Roman" w:hAnsi="Times New Roman" w:cs="Times New Roman"/>
        </w:rPr>
        <w:t xml:space="preserve"> -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Федеральная служба по надзору в сфере здравоохранения</w:t>
      </w:r>
    </w:p>
  </w:footnote>
  <w:footnote w:id="5">
    <w:p w14:paraId="285F2C61" w14:textId="77777777" w:rsidR="00B3253B" w:rsidRPr="00D86268" w:rsidRDefault="00B3253B">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средняя зарплата по данной должности согласно </w:t>
      </w:r>
      <w:proofErr w:type="gramStart"/>
      <w:r w:rsidRPr="00D86268">
        <w:rPr>
          <w:rFonts w:ascii="Times New Roman" w:hAnsi="Times New Roman" w:cs="Times New Roman"/>
        </w:rPr>
        <w:t>информации портала</w:t>
      </w:r>
      <w:proofErr w:type="gramEnd"/>
      <w:r w:rsidRPr="00D86268">
        <w:rPr>
          <w:rFonts w:ascii="Times New Roman" w:hAnsi="Times New Roman" w:cs="Times New Roman"/>
        </w:rPr>
        <w:t xml:space="preserve"> </w:t>
      </w:r>
      <w:proofErr w:type="spellStart"/>
      <w:r w:rsidRPr="00D86268">
        <w:rPr>
          <w:rFonts w:ascii="Times New Roman" w:hAnsi="Times New Roman" w:cs="Times New Roman"/>
          <w:lang w:val="en-US"/>
        </w:rPr>
        <w:t>RabotaJob</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ru</w:t>
      </w:r>
      <w:proofErr w:type="spellEnd"/>
      <w:r w:rsidRPr="00D86268">
        <w:rPr>
          <w:rFonts w:ascii="Times New Roman" w:hAnsi="Times New Roman" w:cs="Times New Roman"/>
        </w:rPr>
        <w:t xml:space="preserve">: </w:t>
      </w:r>
      <w:r w:rsidRPr="00D86268">
        <w:rPr>
          <w:rFonts w:ascii="Times New Roman" w:hAnsi="Times New Roman" w:cs="Times New Roman"/>
          <w:lang w:val="en-US"/>
        </w:rPr>
        <w:t>https</w:t>
      </w:r>
      <w:r w:rsidRPr="00D86268">
        <w:rPr>
          <w:rFonts w:ascii="Times New Roman" w:hAnsi="Times New Roman" w:cs="Times New Roman"/>
        </w:rPr>
        <w:t>://</w:t>
      </w:r>
      <w:proofErr w:type="spellStart"/>
      <w:r w:rsidRPr="00D86268">
        <w:rPr>
          <w:rFonts w:ascii="Times New Roman" w:hAnsi="Times New Roman" w:cs="Times New Roman"/>
          <w:lang w:val="en-US"/>
        </w:rPr>
        <w:t>msk</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rabotajob</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ru</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vakansii</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analitik</w:t>
      </w:r>
      <w:proofErr w:type="spellEnd"/>
      <w:r w:rsidRPr="00D86268">
        <w:rPr>
          <w:rFonts w:ascii="Times New Roman" w:hAnsi="Times New Roman" w:cs="Times New Roman"/>
        </w:rPr>
        <w:t>-</w:t>
      </w:r>
      <w:r w:rsidRPr="00D86268">
        <w:rPr>
          <w:rFonts w:ascii="Times New Roman" w:hAnsi="Times New Roman" w:cs="Times New Roman"/>
          <w:lang w:val="en-US"/>
        </w:rPr>
        <w:t>monitoring</w:t>
      </w:r>
      <w:r w:rsidRPr="00D86268">
        <w:rPr>
          <w:rFonts w:ascii="Times New Roman" w:hAnsi="Times New Roman" w:cs="Times New Roman"/>
        </w:rPr>
        <w:t>-</w:t>
      </w:r>
      <w:proofErr w:type="spellStart"/>
      <w:r w:rsidRPr="00D86268">
        <w:rPr>
          <w:rFonts w:ascii="Times New Roman" w:hAnsi="Times New Roman" w:cs="Times New Roman"/>
          <w:lang w:val="en-US"/>
        </w:rPr>
        <w:t>bezopasnosti</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medicinskih</w:t>
      </w:r>
      <w:proofErr w:type="spellEnd"/>
      <w:r w:rsidRPr="00D86268">
        <w:rPr>
          <w:rFonts w:ascii="Times New Roman" w:hAnsi="Times New Roman" w:cs="Times New Roman"/>
        </w:rPr>
        <w:t>-</w:t>
      </w:r>
      <w:proofErr w:type="spellStart"/>
      <w:r w:rsidRPr="00D86268">
        <w:rPr>
          <w:rFonts w:ascii="Times New Roman" w:hAnsi="Times New Roman" w:cs="Times New Roman"/>
          <w:lang w:val="en-US"/>
        </w:rPr>
        <w:t>izdelij</w:t>
      </w:r>
      <w:proofErr w:type="spellEnd"/>
      <w:r w:rsidRPr="00D86268">
        <w:rPr>
          <w:rFonts w:ascii="Times New Roman" w:hAnsi="Times New Roman" w:cs="Times New Roman"/>
        </w:rPr>
        <w:t>/</w:t>
      </w:r>
    </w:p>
  </w:footnote>
  <w:footnote w:id="6">
    <w:p w14:paraId="66364021" w14:textId="77777777" w:rsidR="00351F76" w:rsidRPr="00D86268" w:rsidRDefault="00351F76">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Рекомендация Коллегии ЕЭК от 08.10.2019 №29 «О Методических рекомендациях по содержанию и структуре документов регистрационного досье медицинского изделия»</w:t>
      </w:r>
    </w:p>
  </w:footnote>
  <w:footnote w:id="7">
    <w:p w14:paraId="4A472959" w14:textId="77777777" w:rsidR="00C12508" w:rsidRPr="00D86268" w:rsidRDefault="00C12508">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Решение №116 Коллегии ЕЭК «О Критериях разграничения элементов медицинского изделия, являющихся составными частями медицинского изделия, в целях его регистрации» от 24.07.2018 г. </w:t>
      </w:r>
    </w:p>
  </w:footnote>
  <w:footnote w:id="8">
    <w:p w14:paraId="270A22BC" w14:textId="77777777" w:rsidR="00C12508" w:rsidRDefault="00C12508">
      <w:pPr>
        <w:pStyle w:val="a3"/>
      </w:pPr>
      <w:r w:rsidRPr="00D86268">
        <w:rPr>
          <w:rStyle w:val="a5"/>
          <w:rFonts w:ascii="Times New Roman" w:hAnsi="Times New Roman" w:cs="Times New Roman"/>
        </w:rPr>
        <w:footnoteRef/>
      </w:r>
      <w:r w:rsidRPr="00D86268">
        <w:rPr>
          <w:rFonts w:ascii="Times New Roman" w:hAnsi="Times New Roman" w:cs="Times New Roman"/>
        </w:rPr>
        <w:t xml:space="preserve"> - Решение №46 Совета ЕЭК «О Правилах регистрации и экспертизы безопасности, качества и эффективности медицинских изделий» от 12.02.2016 г.</w:t>
      </w:r>
    </w:p>
  </w:footnote>
  <w:footnote w:id="9">
    <w:p w14:paraId="4AE3533F" w14:textId="77777777" w:rsidR="00AF7A0F" w:rsidRPr="00D86268" w:rsidRDefault="00AF7A0F">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Рекомендация Коллегии ЕЭК от 08.06.2021 №10 «О внесении изменений в перечень стандартов,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footnote>
  <w:footnote w:id="10">
    <w:p w14:paraId="0DFD86A2" w14:textId="77777777" w:rsidR="00AF7A0F" w:rsidRDefault="00AF7A0F">
      <w:pPr>
        <w:pStyle w:val="a3"/>
      </w:pPr>
      <w:r w:rsidRPr="00D86268">
        <w:rPr>
          <w:rStyle w:val="a5"/>
          <w:rFonts w:ascii="Times New Roman" w:hAnsi="Times New Roman" w:cs="Times New Roman"/>
        </w:rPr>
        <w:footnoteRef/>
      </w:r>
      <w:r w:rsidRPr="00D86268">
        <w:rPr>
          <w:rFonts w:ascii="Times New Roman" w:hAnsi="Times New Roman" w:cs="Times New Roman"/>
        </w:rPr>
        <w:t xml:space="preserve"> - Рекомендация Коллегии ЕЭК от 04.09.2017 №17 «О перечне стандартов,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footnote>
  <w:footnote w:id="11">
    <w:p w14:paraId="5222BA29" w14:textId="77777777" w:rsidR="009A100A" w:rsidRPr="00D86268" w:rsidRDefault="009A100A">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Приказ Минздрава России от 30.08.2021 №885н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footnote>
  <w:footnote w:id="12">
    <w:p w14:paraId="194C9169" w14:textId="77777777" w:rsidR="009D7A8F" w:rsidRPr="00846732" w:rsidRDefault="009D7A8F">
      <w:pPr>
        <w:pStyle w:val="a3"/>
        <w:rPr>
          <w:rFonts w:ascii="Times New Roman" w:hAnsi="Times New Roman" w:cs="Times New Roman"/>
        </w:rPr>
      </w:pPr>
      <w:r w:rsidRPr="00846732">
        <w:rPr>
          <w:rStyle w:val="a5"/>
          <w:rFonts w:ascii="Times New Roman" w:hAnsi="Times New Roman" w:cs="Times New Roman"/>
        </w:rPr>
        <w:footnoteRef/>
      </w:r>
      <w:r w:rsidRPr="00846732">
        <w:rPr>
          <w:rFonts w:ascii="Times New Roman" w:hAnsi="Times New Roman" w:cs="Times New Roman"/>
        </w:rPr>
        <w:t xml:space="preserve"> - Решение Совета ЕЭК от 10.11.2017 №106 «О Требованиях к внедрению, поддержанию и оценке системы менеджмента качества медицинских изделий в зависимости от потенциального риска их применения»</w:t>
      </w:r>
    </w:p>
  </w:footnote>
  <w:footnote w:id="13">
    <w:p w14:paraId="29732CCE" w14:textId="77777777" w:rsidR="00E8622E" w:rsidRDefault="00E8622E">
      <w:pPr>
        <w:pStyle w:val="a3"/>
      </w:pPr>
      <w:r w:rsidRPr="00846732">
        <w:rPr>
          <w:rStyle w:val="a5"/>
          <w:rFonts w:ascii="Times New Roman" w:hAnsi="Times New Roman" w:cs="Times New Roman"/>
        </w:rPr>
        <w:footnoteRef/>
      </w:r>
      <w:r w:rsidRPr="00846732">
        <w:rPr>
          <w:rFonts w:ascii="Times New Roman" w:hAnsi="Times New Roman" w:cs="Times New Roman"/>
        </w:rPr>
        <w:t xml:space="preserve"> - </w:t>
      </w:r>
      <w:hyperlink r:id="rId3" w:history="1">
        <w:r w:rsidRPr="00846732">
          <w:rPr>
            <w:rStyle w:val="a6"/>
            <w:rFonts w:ascii="Times New Roman" w:hAnsi="Times New Roman" w:cs="Times New Roman"/>
          </w:rPr>
          <w:t>https://roszdravnadzor.gov.ru/services/misearch</w:t>
        </w:r>
      </w:hyperlink>
      <w:r w:rsidRPr="00846732">
        <w:rPr>
          <w:rFonts w:ascii="Times New Roman" w:hAnsi="Times New Roman" w:cs="Times New Roman"/>
        </w:rPr>
        <w:t xml:space="preserve"> -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Федеральная служба по надзору в сфере здравоохранения</w:t>
      </w:r>
    </w:p>
  </w:footnote>
  <w:footnote w:id="14">
    <w:p w14:paraId="428AB580" w14:textId="77777777" w:rsidR="00817BE8" w:rsidRPr="00D86268" w:rsidRDefault="00817BE8">
      <w:pPr>
        <w:pStyle w:val="a3"/>
        <w:rPr>
          <w:rFonts w:ascii="Times New Roman" w:hAnsi="Times New Roman" w:cs="Times New Roman"/>
        </w:rPr>
      </w:pPr>
      <w:r w:rsidRPr="00D86268">
        <w:rPr>
          <w:rStyle w:val="a5"/>
          <w:rFonts w:ascii="Times New Roman" w:hAnsi="Times New Roman" w:cs="Times New Roman"/>
        </w:rPr>
        <w:footnoteRef/>
      </w:r>
      <w:r w:rsidRPr="00D86268">
        <w:rPr>
          <w:rFonts w:ascii="Times New Roman" w:hAnsi="Times New Roman" w:cs="Times New Roman"/>
        </w:rPr>
        <w:t xml:space="preserve"> - </w:t>
      </w:r>
      <w:hyperlink r:id="rId4" w:history="1">
        <w:r w:rsidRPr="00D86268">
          <w:rPr>
            <w:rStyle w:val="a6"/>
            <w:rFonts w:ascii="Times New Roman" w:hAnsi="Times New Roman" w:cs="Times New Roman"/>
          </w:rPr>
          <w:t>https://eec.eaeunion.org/news/itogi-soveta-eek-24-dekabrya</w:t>
        </w:r>
      </w:hyperlink>
      <w:r w:rsidRPr="00D86268">
        <w:rPr>
          <w:rFonts w:ascii="Times New Roman" w:hAnsi="Times New Roman" w:cs="Times New Roman"/>
        </w:rPr>
        <w:t xml:space="preserve"> - Итоги Совета ЕЭК 24 декабря. Сайт Евразийской Экономической Комиссии</w:t>
      </w:r>
    </w:p>
  </w:footnote>
  <w:footnote w:id="15">
    <w:p w14:paraId="5E61C118" w14:textId="77777777" w:rsidR="00845B6B" w:rsidRDefault="00845B6B">
      <w:pPr>
        <w:pStyle w:val="a3"/>
      </w:pPr>
      <w:r w:rsidRPr="00D86268">
        <w:rPr>
          <w:rStyle w:val="a5"/>
          <w:rFonts w:ascii="Times New Roman" w:hAnsi="Times New Roman" w:cs="Times New Roman"/>
        </w:rPr>
        <w:footnoteRef/>
      </w:r>
      <w:r w:rsidRPr="00D86268">
        <w:rPr>
          <w:rFonts w:ascii="Times New Roman" w:hAnsi="Times New Roman" w:cs="Times New Roman"/>
        </w:rPr>
        <w:t xml:space="preserve"> - </w:t>
      </w:r>
      <w:hyperlink r:id="rId5" w:anchor="npa=124887" w:history="1">
        <w:r w:rsidRPr="00D86268">
          <w:rPr>
            <w:rStyle w:val="a6"/>
            <w:rFonts w:ascii="Times New Roman" w:hAnsi="Times New Roman" w:cs="Times New Roman"/>
          </w:rPr>
          <w:t>https://regulation.gov.ru/projects#npa=124887</w:t>
        </w:r>
      </w:hyperlink>
      <w:r w:rsidRPr="00D86268">
        <w:rPr>
          <w:rFonts w:ascii="Times New Roman" w:hAnsi="Times New Roman" w:cs="Times New Roman"/>
        </w:rPr>
        <w:t xml:space="preserve"> – Федеральный портал проектов нормативных правовых актов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156"/>
    <w:multiLevelType w:val="hybridMultilevel"/>
    <w:tmpl w:val="52D6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621E19"/>
    <w:multiLevelType w:val="hybridMultilevel"/>
    <w:tmpl w:val="AFDC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CE"/>
    <w:rsid w:val="0003437E"/>
    <w:rsid w:val="00057C9C"/>
    <w:rsid w:val="00060CD2"/>
    <w:rsid w:val="000D72D8"/>
    <w:rsid w:val="000E3A1F"/>
    <w:rsid w:val="000F35AD"/>
    <w:rsid w:val="00121402"/>
    <w:rsid w:val="00163605"/>
    <w:rsid w:val="0017798D"/>
    <w:rsid w:val="001967D4"/>
    <w:rsid w:val="001E7A0C"/>
    <w:rsid w:val="001F19C1"/>
    <w:rsid w:val="002029A6"/>
    <w:rsid w:val="00287EE5"/>
    <w:rsid w:val="00321CFE"/>
    <w:rsid w:val="00351F76"/>
    <w:rsid w:val="003A2E2C"/>
    <w:rsid w:val="003E4DB1"/>
    <w:rsid w:val="00492307"/>
    <w:rsid w:val="004C175A"/>
    <w:rsid w:val="004E1D51"/>
    <w:rsid w:val="00542A04"/>
    <w:rsid w:val="005722F9"/>
    <w:rsid w:val="0058521C"/>
    <w:rsid w:val="00591888"/>
    <w:rsid w:val="006246FD"/>
    <w:rsid w:val="00657C52"/>
    <w:rsid w:val="00675F22"/>
    <w:rsid w:val="006867DF"/>
    <w:rsid w:val="006C18E5"/>
    <w:rsid w:val="006C46A0"/>
    <w:rsid w:val="006E5D98"/>
    <w:rsid w:val="006F0970"/>
    <w:rsid w:val="007156F9"/>
    <w:rsid w:val="007B2173"/>
    <w:rsid w:val="007C78E4"/>
    <w:rsid w:val="00817BE8"/>
    <w:rsid w:val="00845B6B"/>
    <w:rsid w:val="00846732"/>
    <w:rsid w:val="00872524"/>
    <w:rsid w:val="008805CE"/>
    <w:rsid w:val="00911917"/>
    <w:rsid w:val="00926C1E"/>
    <w:rsid w:val="009A100A"/>
    <w:rsid w:val="009D768B"/>
    <w:rsid w:val="009D7A8F"/>
    <w:rsid w:val="009F0E20"/>
    <w:rsid w:val="00A6712C"/>
    <w:rsid w:val="00A7520A"/>
    <w:rsid w:val="00A90ABE"/>
    <w:rsid w:val="00AE2B29"/>
    <w:rsid w:val="00AF7A0F"/>
    <w:rsid w:val="00B0715D"/>
    <w:rsid w:val="00B22F49"/>
    <w:rsid w:val="00B3253B"/>
    <w:rsid w:val="00B4447E"/>
    <w:rsid w:val="00B70615"/>
    <w:rsid w:val="00B7259E"/>
    <w:rsid w:val="00B84DC9"/>
    <w:rsid w:val="00B90BF1"/>
    <w:rsid w:val="00BB1F9D"/>
    <w:rsid w:val="00BD7111"/>
    <w:rsid w:val="00C12508"/>
    <w:rsid w:val="00C95ED2"/>
    <w:rsid w:val="00CA60C3"/>
    <w:rsid w:val="00CF70EB"/>
    <w:rsid w:val="00D86268"/>
    <w:rsid w:val="00D92056"/>
    <w:rsid w:val="00DE1B1E"/>
    <w:rsid w:val="00E8622E"/>
    <w:rsid w:val="00EA59FB"/>
    <w:rsid w:val="00EF178E"/>
    <w:rsid w:val="00FB0AB4"/>
    <w:rsid w:val="00FE3B87"/>
    <w:rsid w:val="00FE6A5D"/>
    <w:rsid w:val="00FF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9F92"/>
  <w15:chartTrackingRefBased/>
  <w15:docId w15:val="{661A8455-35CB-46EA-84CE-70AE091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5CE"/>
    <w:pPr>
      <w:spacing w:after="0" w:line="240" w:lineRule="auto"/>
    </w:pPr>
    <w:rPr>
      <w:sz w:val="20"/>
      <w:szCs w:val="20"/>
    </w:rPr>
  </w:style>
  <w:style w:type="character" w:customStyle="1" w:styleId="a4">
    <w:name w:val="Текст сноски Знак"/>
    <w:basedOn w:val="a0"/>
    <w:link w:val="a3"/>
    <w:uiPriority w:val="99"/>
    <w:semiHidden/>
    <w:rsid w:val="008805CE"/>
    <w:rPr>
      <w:sz w:val="20"/>
      <w:szCs w:val="20"/>
    </w:rPr>
  </w:style>
  <w:style w:type="character" w:styleId="a5">
    <w:name w:val="footnote reference"/>
    <w:basedOn w:val="a0"/>
    <w:uiPriority w:val="99"/>
    <w:semiHidden/>
    <w:unhideWhenUsed/>
    <w:rsid w:val="008805CE"/>
    <w:rPr>
      <w:vertAlign w:val="superscript"/>
    </w:rPr>
  </w:style>
  <w:style w:type="character" w:styleId="a6">
    <w:name w:val="Hyperlink"/>
    <w:basedOn w:val="a0"/>
    <w:uiPriority w:val="99"/>
    <w:unhideWhenUsed/>
    <w:rsid w:val="00817BE8"/>
    <w:rPr>
      <w:color w:val="0563C1" w:themeColor="hyperlink"/>
      <w:u w:val="single"/>
    </w:rPr>
  </w:style>
  <w:style w:type="table" w:styleId="a7">
    <w:name w:val="Table Grid"/>
    <w:basedOn w:val="a1"/>
    <w:uiPriority w:val="39"/>
    <w:rsid w:val="00C1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A2E2C"/>
    <w:rPr>
      <w:sz w:val="16"/>
      <w:szCs w:val="16"/>
    </w:rPr>
  </w:style>
  <w:style w:type="paragraph" w:styleId="a9">
    <w:name w:val="annotation text"/>
    <w:basedOn w:val="a"/>
    <w:link w:val="aa"/>
    <w:uiPriority w:val="99"/>
    <w:semiHidden/>
    <w:unhideWhenUsed/>
    <w:rsid w:val="003A2E2C"/>
    <w:pPr>
      <w:spacing w:line="240" w:lineRule="auto"/>
    </w:pPr>
    <w:rPr>
      <w:sz w:val="20"/>
      <w:szCs w:val="20"/>
    </w:rPr>
  </w:style>
  <w:style w:type="character" w:customStyle="1" w:styleId="aa">
    <w:name w:val="Текст примечания Знак"/>
    <w:basedOn w:val="a0"/>
    <w:link w:val="a9"/>
    <w:uiPriority w:val="99"/>
    <w:semiHidden/>
    <w:rsid w:val="003A2E2C"/>
    <w:rPr>
      <w:sz w:val="20"/>
      <w:szCs w:val="20"/>
    </w:rPr>
  </w:style>
  <w:style w:type="paragraph" w:styleId="ab">
    <w:name w:val="annotation subject"/>
    <w:basedOn w:val="a9"/>
    <w:next w:val="a9"/>
    <w:link w:val="ac"/>
    <w:uiPriority w:val="99"/>
    <w:semiHidden/>
    <w:unhideWhenUsed/>
    <w:rsid w:val="003A2E2C"/>
    <w:rPr>
      <w:b/>
      <w:bCs/>
    </w:rPr>
  </w:style>
  <w:style w:type="character" w:customStyle="1" w:styleId="ac">
    <w:name w:val="Тема примечания Знак"/>
    <w:basedOn w:val="aa"/>
    <w:link w:val="ab"/>
    <w:uiPriority w:val="99"/>
    <w:semiHidden/>
    <w:rsid w:val="003A2E2C"/>
    <w:rPr>
      <w:b/>
      <w:bCs/>
      <w:sz w:val="20"/>
      <w:szCs w:val="20"/>
    </w:rPr>
  </w:style>
  <w:style w:type="paragraph" w:styleId="ad">
    <w:name w:val="Balloon Text"/>
    <w:basedOn w:val="a"/>
    <w:link w:val="ae"/>
    <w:uiPriority w:val="99"/>
    <w:semiHidden/>
    <w:unhideWhenUsed/>
    <w:rsid w:val="003A2E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A2E2C"/>
    <w:rPr>
      <w:rFonts w:ascii="Segoe UI" w:hAnsi="Segoe UI" w:cs="Segoe UI"/>
      <w:sz w:val="18"/>
      <w:szCs w:val="18"/>
    </w:rPr>
  </w:style>
  <w:style w:type="paragraph" w:styleId="af">
    <w:name w:val="header"/>
    <w:basedOn w:val="a"/>
    <w:link w:val="af0"/>
    <w:uiPriority w:val="99"/>
    <w:unhideWhenUsed/>
    <w:rsid w:val="009A100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100A"/>
  </w:style>
  <w:style w:type="paragraph" w:styleId="af1">
    <w:name w:val="footer"/>
    <w:basedOn w:val="a"/>
    <w:link w:val="af2"/>
    <w:uiPriority w:val="99"/>
    <w:unhideWhenUsed/>
    <w:rsid w:val="009A100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100A"/>
  </w:style>
  <w:style w:type="paragraph" w:styleId="af3">
    <w:name w:val="List Paragraph"/>
    <w:basedOn w:val="a"/>
    <w:uiPriority w:val="34"/>
    <w:qFormat/>
    <w:rsid w:val="00D92056"/>
    <w:pPr>
      <w:ind w:left="720"/>
      <w:contextualSpacing/>
    </w:pPr>
  </w:style>
  <w:style w:type="paragraph" w:styleId="af4">
    <w:name w:val="Revision"/>
    <w:hidden/>
    <w:uiPriority w:val="99"/>
    <w:semiHidden/>
    <w:rsid w:val="004E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600">
      <w:bodyDiv w:val="1"/>
      <w:marLeft w:val="0"/>
      <w:marRight w:val="0"/>
      <w:marTop w:val="0"/>
      <w:marBottom w:val="0"/>
      <w:divBdr>
        <w:top w:val="none" w:sz="0" w:space="0" w:color="auto"/>
        <w:left w:val="none" w:sz="0" w:space="0" w:color="auto"/>
        <w:bottom w:val="none" w:sz="0" w:space="0" w:color="auto"/>
        <w:right w:val="none" w:sz="0" w:space="0" w:color="auto"/>
      </w:divBdr>
    </w:div>
    <w:div w:id="161510978">
      <w:bodyDiv w:val="1"/>
      <w:marLeft w:val="0"/>
      <w:marRight w:val="0"/>
      <w:marTop w:val="0"/>
      <w:marBottom w:val="0"/>
      <w:divBdr>
        <w:top w:val="none" w:sz="0" w:space="0" w:color="auto"/>
        <w:left w:val="none" w:sz="0" w:space="0" w:color="auto"/>
        <w:bottom w:val="none" w:sz="0" w:space="0" w:color="auto"/>
        <w:right w:val="none" w:sz="0" w:space="0" w:color="auto"/>
      </w:divBdr>
    </w:div>
    <w:div w:id="170147614">
      <w:bodyDiv w:val="1"/>
      <w:marLeft w:val="0"/>
      <w:marRight w:val="0"/>
      <w:marTop w:val="0"/>
      <w:marBottom w:val="0"/>
      <w:divBdr>
        <w:top w:val="none" w:sz="0" w:space="0" w:color="auto"/>
        <w:left w:val="none" w:sz="0" w:space="0" w:color="auto"/>
        <w:bottom w:val="none" w:sz="0" w:space="0" w:color="auto"/>
        <w:right w:val="none" w:sz="0" w:space="0" w:color="auto"/>
      </w:divBdr>
    </w:div>
    <w:div w:id="215704843">
      <w:bodyDiv w:val="1"/>
      <w:marLeft w:val="0"/>
      <w:marRight w:val="0"/>
      <w:marTop w:val="0"/>
      <w:marBottom w:val="0"/>
      <w:divBdr>
        <w:top w:val="none" w:sz="0" w:space="0" w:color="auto"/>
        <w:left w:val="none" w:sz="0" w:space="0" w:color="auto"/>
        <w:bottom w:val="none" w:sz="0" w:space="0" w:color="auto"/>
        <w:right w:val="none" w:sz="0" w:space="0" w:color="auto"/>
      </w:divBdr>
    </w:div>
    <w:div w:id="341010204">
      <w:bodyDiv w:val="1"/>
      <w:marLeft w:val="0"/>
      <w:marRight w:val="0"/>
      <w:marTop w:val="0"/>
      <w:marBottom w:val="0"/>
      <w:divBdr>
        <w:top w:val="none" w:sz="0" w:space="0" w:color="auto"/>
        <w:left w:val="none" w:sz="0" w:space="0" w:color="auto"/>
        <w:bottom w:val="none" w:sz="0" w:space="0" w:color="auto"/>
        <w:right w:val="none" w:sz="0" w:space="0" w:color="auto"/>
      </w:divBdr>
      <w:divsChild>
        <w:div w:id="979841675">
          <w:marLeft w:val="0"/>
          <w:marRight w:val="0"/>
          <w:marTop w:val="240"/>
          <w:marBottom w:val="240"/>
          <w:divBdr>
            <w:top w:val="none" w:sz="0" w:space="0" w:color="auto"/>
            <w:left w:val="none" w:sz="0" w:space="0" w:color="auto"/>
            <w:bottom w:val="none" w:sz="0" w:space="0" w:color="auto"/>
            <w:right w:val="none" w:sz="0" w:space="0" w:color="auto"/>
          </w:divBdr>
        </w:div>
      </w:divsChild>
    </w:div>
    <w:div w:id="571158615">
      <w:bodyDiv w:val="1"/>
      <w:marLeft w:val="0"/>
      <w:marRight w:val="0"/>
      <w:marTop w:val="0"/>
      <w:marBottom w:val="0"/>
      <w:divBdr>
        <w:top w:val="none" w:sz="0" w:space="0" w:color="auto"/>
        <w:left w:val="none" w:sz="0" w:space="0" w:color="auto"/>
        <w:bottom w:val="none" w:sz="0" w:space="0" w:color="auto"/>
        <w:right w:val="none" w:sz="0" w:space="0" w:color="auto"/>
      </w:divBdr>
    </w:div>
    <w:div w:id="608855858">
      <w:bodyDiv w:val="1"/>
      <w:marLeft w:val="0"/>
      <w:marRight w:val="0"/>
      <w:marTop w:val="0"/>
      <w:marBottom w:val="0"/>
      <w:divBdr>
        <w:top w:val="none" w:sz="0" w:space="0" w:color="auto"/>
        <w:left w:val="none" w:sz="0" w:space="0" w:color="auto"/>
        <w:bottom w:val="none" w:sz="0" w:space="0" w:color="auto"/>
        <w:right w:val="none" w:sz="0" w:space="0" w:color="auto"/>
      </w:divBdr>
    </w:div>
    <w:div w:id="618491575">
      <w:bodyDiv w:val="1"/>
      <w:marLeft w:val="0"/>
      <w:marRight w:val="0"/>
      <w:marTop w:val="0"/>
      <w:marBottom w:val="0"/>
      <w:divBdr>
        <w:top w:val="none" w:sz="0" w:space="0" w:color="auto"/>
        <w:left w:val="none" w:sz="0" w:space="0" w:color="auto"/>
        <w:bottom w:val="none" w:sz="0" w:space="0" w:color="auto"/>
        <w:right w:val="none" w:sz="0" w:space="0" w:color="auto"/>
      </w:divBdr>
      <w:divsChild>
        <w:div w:id="1651517674">
          <w:marLeft w:val="0"/>
          <w:marRight w:val="0"/>
          <w:marTop w:val="0"/>
          <w:marBottom w:val="0"/>
          <w:divBdr>
            <w:top w:val="none" w:sz="0" w:space="0" w:color="auto"/>
            <w:left w:val="single" w:sz="6" w:space="0" w:color="B3B9BD"/>
            <w:bottom w:val="none" w:sz="0" w:space="0" w:color="auto"/>
            <w:right w:val="single" w:sz="6" w:space="0" w:color="B3B9BD"/>
          </w:divBdr>
          <w:divsChild>
            <w:div w:id="20047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0232">
      <w:bodyDiv w:val="1"/>
      <w:marLeft w:val="0"/>
      <w:marRight w:val="0"/>
      <w:marTop w:val="0"/>
      <w:marBottom w:val="0"/>
      <w:divBdr>
        <w:top w:val="none" w:sz="0" w:space="0" w:color="auto"/>
        <w:left w:val="none" w:sz="0" w:space="0" w:color="auto"/>
        <w:bottom w:val="none" w:sz="0" w:space="0" w:color="auto"/>
        <w:right w:val="none" w:sz="0" w:space="0" w:color="auto"/>
      </w:divBdr>
    </w:div>
    <w:div w:id="826825095">
      <w:bodyDiv w:val="1"/>
      <w:marLeft w:val="0"/>
      <w:marRight w:val="0"/>
      <w:marTop w:val="0"/>
      <w:marBottom w:val="0"/>
      <w:divBdr>
        <w:top w:val="none" w:sz="0" w:space="0" w:color="auto"/>
        <w:left w:val="none" w:sz="0" w:space="0" w:color="auto"/>
        <w:bottom w:val="none" w:sz="0" w:space="0" w:color="auto"/>
        <w:right w:val="none" w:sz="0" w:space="0" w:color="auto"/>
      </w:divBdr>
    </w:div>
    <w:div w:id="852232132">
      <w:bodyDiv w:val="1"/>
      <w:marLeft w:val="0"/>
      <w:marRight w:val="0"/>
      <w:marTop w:val="0"/>
      <w:marBottom w:val="0"/>
      <w:divBdr>
        <w:top w:val="none" w:sz="0" w:space="0" w:color="auto"/>
        <w:left w:val="none" w:sz="0" w:space="0" w:color="auto"/>
        <w:bottom w:val="none" w:sz="0" w:space="0" w:color="auto"/>
        <w:right w:val="none" w:sz="0" w:space="0" w:color="auto"/>
      </w:divBdr>
    </w:div>
    <w:div w:id="996804203">
      <w:bodyDiv w:val="1"/>
      <w:marLeft w:val="0"/>
      <w:marRight w:val="0"/>
      <w:marTop w:val="0"/>
      <w:marBottom w:val="0"/>
      <w:divBdr>
        <w:top w:val="none" w:sz="0" w:space="0" w:color="auto"/>
        <w:left w:val="none" w:sz="0" w:space="0" w:color="auto"/>
        <w:bottom w:val="none" w:sz="0" w:space="0" w:color="auto"/>
        <w:right w:val="none" w:sz="0" w:space="0" w:color="auto"/>
      </w:divBdr>
    </w:div>
    <w:div w:id="1373964748">
      <w:bodyDiv w:val="1"/>
      <w:marLeft w:val="0"/>
      <w:marRight w:val="0"/>
      <w:marTop w:val="0"/>
      <w:marBottom w:val="0"/>
      <w:divBdr>
        <w:top w:val="none" w:sz="0" w:space="0" w:color="auto"/>
        <w:left w:val="none" w:sz="0" w:space="0" w:color="auto"/>
        <w:bottom w:val="none" w:sz="0" w:space="0" w:color="auto"/>
        <w:right w:val="none" w:sz="0" w:space="0" w:color="auto"/>
      </w:divBdr>
    </w:div>
    <w:div w:id="1456020849">
      <w:bodyDiv w:val="1"/>
      <w:marLeft w:val="0"/>
      <w:marRight w:val="0"/>
      <w:marTop w:val="0"/>
      <w:marBottom w:val="0"/>
      <w:divBdr>
        <w:top w:val="none" w:sz="0" w:space="0" w:color="auto"/>
        <w:left w:val="none" w:sz="0" w:space="0" w:color="auto"/>
        <w:bottom w:val="none" w:sz="0" w:space="0" w:color="auto"/>
        <w:right w:val="none" w:sz="0" w:space="0" w:color="auto"/>
      </w:divBdr>
    </w:div>
    <w:div w:id="1561477740">
      <w:bodyDiv w:val="1"/>
      <w:marLeft w:val="0"/>
      <w:marRight w:val="0"/>
      <w:marTop w:val="0"/>
      <w:marBottom w:val="0"/>
      <w:divBdr>
        <w:top w:val="none" w:sz="0" w:space="0" w:color="auto"/>
        <w:left w:val="none" w:sz="0" w:space="0" w:color="auto"/>
        <w:bottom w:val="none" w:sz="0" w:space="0" w:color="auto"/>
        <w:right w:val="none" w:sz="0" w:space="0" w:color="auto"/>
      </w:divBdr>
    </w:div>
    <w:div w:id="1776241904">
      <w:bodyDiv w:val="1"/>
      <w:marLeft w:val="0"/>
      <w:marRight w:val="0"/>
      <w:marTop w:val="0"/>
      <w:marBottom w:val="0"/>
      <w:divBdr>
        <w:top w:val="none" w:sz="0" w:space="0" w:color="auto"/>
        <w:left w:val="none" w:sz="0" w:space="0" w:color="auto"/>
        <w:bottom w:val="none" w:sz="0" w:space="0" w:color="auto"/>
        <w:right w:val="none" w:sz="0" w:space="0" w:color="auto"/>
      </w:divBdr>
    </w:div>
    <w:div w:id="1859737538">
      <w:bodyDiv w:val="1"/>
      <w:marLeft w:val="0"/>
      <w:marRight w:val="0"/>
      <w:marTop w:val="0"/>
      <w:marBottom w:val="0"/>
      <w:divBdr>
        <w:top w:val="none" w:sz="0" w:space="0" w:color="auto"/>
        <w:left w:val="none" w:sz="0" w:space="0" w:color="auto"/>
        <w:bottom w:val="none" w:sz="0" w:space="0" w:color="auto"/>
        <w:right w:val="none" w:sz="0" w:space="0" w:color="auto"/>
      </w:divBdr>
    </w:div>
    <w:div w:id="19797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oszdravnadzor.gov.ru/services/misearch" TargetMode="External"/><Relationship Id="rId2" Type="http://schemas.openxmlformats.org/officeDocument/2006/relationships/hyperlink" Target="https://roszdravnadzor.gov.ru/services/misearch" TargetMode="External"/><Relationship Id="rId1" Type="http://schemas.openxmlformats.org/officeDocument/2006/relationships/hyperlink" Target="https://portal.eaeunion.org/sites/odata/_layouts/15/Registry/PMM06/TableView.aspx" TargetMode="External"/><Relationship Id="rId5" Type="http://schemas.openxmlformats.org/officeDocument/2006/relationships/hyperlink" Target="https://regulation.gov.ru/projects" TargetMode="External"/><Relationship Id="rId4" Type="http://schemas.openxmlformats.org/officeDocument/2006/relationships/hyperlink" Target="https://eec.eaeunion.org/news/itogi-soveta-eek-24-dek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A7A3-C0E9-4641-BABE-D646B24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Medrelic-1</dc:creator>
  <cp:keywords/>
  <dc:description/>
  <cp:lastModifiedBy>Medrelic-1</cp:lastModifiedBy>
  <cp:revision>34</cp:revision>
  <dcterms:created xsi:type="dcterms:W3CDTF">2022-03-31T08:15:00Z</dcterms:created>
  <dcterms:modified xsi:type="dcterms:W3CDTF">2022-04-21T10:43:00Z</dcterms:modified>
</cp:coreProperties>
</file>